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898" w:rsidRDefault="004F5898">
      <w:pPr>
        <w:pBdr>
          <w:bottom w:val="single" w:sz="4" w:space="1" w:color="000000"/>
        </w:pBdr>
        <w:spacing w:before="240" w:after="0" w:line="240" w:lineRule="auto"/>
        <w:jc w:val="center"/>
        <w:rPr>
          <w:rFonts w:ascii="Arial" w:eastAsia="Arial" w:hAnsi="Arial" w:cs="Arial"/>
          <w:b/>
          <w:color w:val="002060"/>
          <w:sz w:val="32"/>
          <w:szCs w:val="32"/>
        </w:rPr>
      </w:pPr>
      <w:bookmarkStart w:id="0" w:name="_heading=h.gjdgxs" w:colFirst="0" w:colLast="0"/>
      <w:bookmarkEnd w:id="0"/>
    </w:p>
    <w:p w:rsidR="004F5898" w:rsidRDefault="00E01593">
      <w:pPr>
        <w:pBdr>
          <w:bottom w:val="single" w:sz="4" w:space="1" w:color="000000"/>
        </w:pBdr>
        <w:spacing w:after="0" w:line="240" w:lineRule="auto"/>
        <w:jc w:val="center"/>
        <w:rPr>
          <w:rFonts w:ascii="Arial" w:eastAsia="Arial" w:hAnsi="Arial" w:cs="Arial"/>
          <w:b/>
          <w:color w:val="002060"/>
          <w:sz w:val="32"/>
          <w:szCs w:val="32"/>
        </w:rPr>
      </w:pPr>
      <w:r>
        <w:rPr>
          <w:rFonts w:ascii="Arial" w:eastAsia="Arial" w:hAnsi="Arial" w:cs="Arial"/>
          <w:b/>
          <w:color w:val="002060"/>
          <w:sz w:val="32"/>
          <w:szCs w:val="32"/>
        </w:rPr>
        <w:t>Regional Climate Action Transparency Hub for Central Asia (ReCATH)</w:t>
      </w:r>
    </w:p>
    <w:p w:rsidR="004F5898" w:rsidRDefault="004F5898">
      <w:pPr>
        <w:pBdr>
          <w:bottom w:val="single" w:sz="4" w:space="1" w:color="000000"/>
        </w:pBdr>
        <w:spacing w:after="0" w:line="240" w:lineRule="auto"/>
        <w:jc w:val="center"/>
        <w:rPr>
          <w:rFonts w:ascii="Arial" w:eastAsia="Arial" w:hAnsi="Arial" w:cs="Arial"/>
          <w:b/>
          <w:color w:val="002060"/>
          <w:sz w:val="32"/>
          <w:szCs w:val="32"/>
        </w:rPr>
      </w:pPr>
    </w:p>
    <w:p w:rsidR="004F5898" w:rsidRDefault="00E01593">
      <w:pPr>
        <w:pBdr>
          <w:bottom w:val="single" w:sz="4" w:space="1" w:color="000000"/>
        </w:pBdr>
        <w:spacing w:after="40" w:line="240" w:lineRule="auto"/>
        <w:jc w:val="center"/>
        <w:rPr>
          <w:b/>
        </w:rPr>
      </w:pPr>
      <w:r>
        <w:rPr>
          <w:rFonts w:ascii="Arial" w:eastAsia="Arial" w:hAnsi="Arial" w:cs="Arial"/>
          <w:b/>
          <w:color w:val="002060"/>
          <w:sz w:val="32"/>
          <w:szCs w:val="32"/>
        </w:rPr>
        <w:t xml:space="preserve">Strengthening Climate Action Transparency in Central Asia: Lessons, Needs, and Future Directions </w:t>
      </w:r>
    </w:p>
    <w:p w:rsidR="004F5898" w:rsidRDefault="00E01593">
      <w:pPr>
        <w:spacing w:before="40" w:after="200" w:line="276" w:lineRule="auto"/>
        <w:jc w:val="center"/>
        <w:rPr>
          <w:rFonts w:ascii="Arial" w:eastAsia="Arial" w:hAnsi="Arial" w:cs="Arial"/>
          <w:b/>
          <w:color w:val="002060"/>
          <w:sz w:val="26"/>
          <w:szCs w:val="26"/>
        </w:rPr>
      </w:pPr>
      <w:r>
        <w:rPr>
          <w:rFonts w:ascii="Arial" w:eastAsia="Arial" w:hAnsi="Arial" w:cs="Arial"/>
          <w:b/>
          <w:color w:val="002060"/>
          <w:sz w:val="26"/>
          <w:szCs w:val="26"/>
        </w:rPr>
        <w:t>20 November 2024, | 11:30 - 13:</w:t>
      </w:r>
      <w:proofErr w:type="gramStart"/>
      <w:r>
        <w:rPr>
          <w:rFonts w:ascii="Arial" w:eastAsia="Arial" w:hAnsi="Arial" w:cs="Arial"/>
          <w:b/>
          <w:color w:val="002060"/>
          <w:sz w:val="26"/>
          <w:szCs w:val="26"/>
        </w:rPr>
        <w:t>00  Kazakhstan</w:t>
      </w:r>
      <w:proofErr w:type="gramEnd"/>
      <w:r>
        <w:rPr>
          <w:rFonts w:ascii="Arial" w:eastAsia="Arial" w:hAnsi="Arial" w:cs="Arial"/>
          <w:b/>
          <w:color w:val="002060"/>
          <w:sz w:val="26"/>
          <w:szCs w:val="26"/>
        </w:rPr>
        <w:t xml:space="preserve"> Pavilion, COP 29, Baku, Republic of Azerbaijan</w:t>
      </w:r>
    </w:p>
    <w:p w:rsidR="004F5898" w:rsidRDefault="004F5898">
      <w:pPr>
        <w:spacing w:before="240" w:after="200" w:line="276" w:lineRule="auto"/>
        <w:jc w:val="center"/>
        <w:rPr>
          <w:rFonts w:ascii="Arial" w:eastAsia="Arial" w:hAnsi="Arial" w:cs="Arial"/>
          <w:b/>
          <w:color w:val="002060"/>
          <w:sz w:val="24"/>
          <w:szCs w:val="24"/>
        </w:rPr>
      </w:pPr>
    </w:p>
    <w:p w:rsidR="004F5898" w:rsidRDefault="00E01593">
      <w:pPr>
        <w:spacing w:after="0" w:line="240" w:lineRule="auto"/>
        <w:jc w:val="center"/>
        <w:rPr>
          <w:rFonts w:ascii="Arial" w:eastAsia="Arial" w:hAnsi="Arial" w:cs="Arial"/>
          <w:b/>
          <w:color w:val="002060"/>
          <w:sz w:val="28"/>
          <w:szCs w:val="28"/>
        </w:rPr>
      </w:pPr>
      <w:r>
        <w:rPr>
          <w:rFonts w:ascii="Arial" w:eastAsia="Arial" w:hAnsi="Arial" w:cs="Arial"/>
          <w:b/>
          <w:color w:val="002060"/>
          <w:sz w:val="28"/>
          <w:szCs w:val="28"/>
        </w:rPr>
        <w:t>Concept Note</w:t>
      </w:r>
    </w:p>
    <w:p w:rsidR="004F5898" w:rsidRDefault="004F5898">
      <w:pPr>
        <w:spacing w:after="0" w:line="240" w:lineRule="auto"/>
        <w:rPr>
          <w:rFonts w:ascii="Arial" w:eastAsia="Arial" w:hAnsi="Arial" w:cs="Arial"/>
          <w:b/>
          <w:color w:val="002060"/>
          <w:sz w:val="28"/>
          <w:szCs w:val="28"/>
        </w:rPr>
      </w:pPr>
      <w:bookmarkStart w:id="1" w:name="_GoBack"/>
      <w:bookmarkEnd w:id="1"/>
    </w:p>
    <w:p w:rsidR="004F5898" w:rsidRDefault="00E01593">
      <w:pPr>
        <w:tabs>
          <w:tab w:val="left" w:pos="1418"/>
        </w:tabs>
        <w:jc w:val="both"/>
        <w:rPr>
          <w:rFonts w:ascii="Arial" w:eastAsia="Arial" w:hAnsi="Arial" w:cs="Arial"/>
          <w:b/>
          <w:color w:val="002060"/>
          <w:sz w:val="24"/>
          <w:szCs w:val="24"/>
        </w:rPr>
      </w:pPr>
      <w:r>
        <w:rPr>
          <w:rFonts w:ascii="Arial" w:eastAsia="Arial" w:hAnsi="Arial" w:cs="Arial"/>
          <w:b/>
          <w:color w:val="002060"/>
          <w:sz w:val="24"/>
          <w:szCs w:val="24"/>
        </w:rPr>
        <w:t>Background</w:t>
      </w:r>
    </w:p>
    <w:p w:rsidR="004F5898" w:rsidRDefault="00E01593">
      <w:pPr>
        <w:tabs>
          <w:tab w:val="left" w:pos="1418"/>
        </w:tabs>
        <w:jc w:val="both"/>
        <w:rPr>
          <w:rFonts w:ascii="Arial" w:eastAsia="Arial" w:hAnsi="Arial" w:cs="Arial"/>
        </w:rPr>
      </w:pPr>
      <w:r>
        <w:rPr>
          <w:rFonts w:ascii="Arial" w:eastAsia="Arial" w:hAnsi="Arial" w:cs="Arial"/>
        </w:rPr>
        <w:t>The ReCATH project is an implementation of the Initiative for Climate Action Transparency (ICAT), which supports countries in developing their capacity to establish and manage a robust, transparent system that effectively implements the Paris Agreement and facilitates countries' transition to new reporting under the Enhanced Transparency Framework (ETF). To this end, ICAT has developed transparency modeling methodologies and tools that can be adapted to the needs of countries.</w:t>
      </w:r>
    </w:p>
    <w:p w:rsidR="004F5898" w:rsidRDefault="00E01593">
      <w:pPr>
        <w:tabs>
          <w:tab w:val="left" w:pos="1418"/>
        </w:tabs>
        <w:jc w:val="both"/>
        <w:rPr>
          <w:rFonts w:ascii="Arial" w:eastAsia="Arial" w:hAnsi="Arial" w:cs="Arial"/>
        </w:rPr>
      </w:pPr>
      <w:r>
        <w:rPr>
          <w:rFonts w:ascii="Arial" w:eastAsia="Arial" w:hAnsi="Arial" w:cs="Arial"/>
        </w:rPr>
        <w:t xml:space="preserve">Tackling climate change involves implementing mitigation and adaptation measures. Thus, countries need to integrate climate change into all national planning instruments; strengthen institutional and technical capacity; implement activities in relevant sectors, address data gaps and improve assessment methodologies; and collect accurate and up-to-date information for the creation and regular updating of databases on greenhouse gas emissions. </w:t>
      </w:r>
    </w:p>
    <w:p w:rsidR="004F5898" w:rsidRDefault="00E01593">
      <w:pPr>
        <w:tabs>
          <w:tab w:val="left" w:pos="1418"/>
        </w:tabs>
        <w:jc w:val="both"/>
        <w:rPr>
          <w:rFonts w:ascii="Arial" w:eastAsia="Arial" w:hAnsi="Arial" w:cs="Arial"/>
        </w:rPr>
      </w:pPr>
      <w:r>
        <w:rPr>
          <w:rFonts w:ascii="Arial" w:eastAsia="Arial" w:hAnsi="Arial" w:cs="Arial"/>
        </w:rPr>
        <w:t>ReCATH implements a collaborative approach that brings together the five Central Asian states (Kazakhstan, Kyrgyzstan, Tajikistan, Turkmenistan, and Uzbekistan) and supports technical experts and expert institutions in the region to establish sustainable and integrated measurement, reporting, and verification (MRV)/transparency systems.</w:t>
      </w:r>
    </w:p>
    <w:p w:rsidR="004F5898" w:rsidRDefault="00E01593">
      <w:pPr>
        <w:tabs>
          <w:tab w:val="left" w:pos="1418"/>
        </w:tabs>
        <w:jc w:val="both"/>
        <w:rPr>
          <w:rFonts w:ascii="Arial" w:eastAsia="Arial" w:hAnsi="Arial" w:cs="Arial"/>
        </w:rPr>
      </w:pPr>
      <w:r>
        <w:rPr>
          <w:rFonts w:ascii="Arial" w:eastAsia="Arial" w:hAnsi="Arial" w:cs="Arial"/>
        </w:rPr>
        <w:t xml:space="preserve">In the first year of the project, an international team of experts from the Greenhouse Gas Management Institute (GHGMI) analyzed the components of climate reporting and climate action and identified key gaps and ways to improve. This analysis was presented at an Introductory Workshop held from 19 to 21 September 2022 in Almaty, Kazakhstan. Also at this event, a work plan for the ReCATH project until 2024 was developed and adopted. Within the framework of this plan, it is planned to conduct training seminars and workshops, as well as provide technical support to experts from Central Asian (CA) countries in the field of greenhouse gas (GHG) inventory, adaptation, climate finance, and forecasting. </w:t>
      </w:r>
    </w:p>
    <w:p w:rsidR="004F5898" w:rsidRDefault="00E01593">
      <w:pPr>
        <w:tabs>
          <w:tab w:val="left" w:pos="1418"/>
        </w:tabs>
        <w:jc w:val="both"/>
        <w:rPr>
          <w:rFonts w:ascii="Arial" w:eastAsia="Arial" w:hAnsi="Arial" w:cs="Arial"/>
        </w:rPr>
      </w:pPr>
      <w:r>
        <w:rPr>
          <w:rFonts w:ascii="Arial" w:eastAsia="Arial" w:hAnsi="Arial" w:cs="Arial"/>
        </w:rPr>
        <w:t>The second and third years of the project were dedicated to intensive training and relevant technical support for the Central Asian experts in different aspects of climate MRV by the GHGMI project team focusing on the topics that were identified through the gap analysis in year 1. These included:</w:t>
      </w:r>
    </w:p>
    <w:p w:rsidR="004F5898" w:rsidRDefault="00E01593">
      <w:pPr>
        <w:widowControl w:val="0"/>
        <w:numPr>
          <w:ilvl w:val="0"/>
          <w:numId w:val="2"/>
        </w:numPr>
        <w:pBdr>
          <w:top w:val="nil"/>
          <w:left w:val="nil"/>
          <w:bottom w:val="nil"/>
          <w:right w:val="nil"/>
          <w:between w:val="nil"/>
        </w:pBdr>
        <w:tabs>
          <w:tab w:val="left" w:pos="1418"/>
        </w:tabs>
        <w:spacing w:after="0" w:line="240" w:lineRule="auto"/>
        <w:jc w:val="both"/>
        <w:rPr>
          <w:rFonts w:ascii="Arial" w:eastAsia="Arial" w:hAnsi="Arial" w:cs="Arial"/>
          <w:color w:val="000000"/>
        </w:rPr>
      </w:pPr>
      <w:r>
        <w:rPr>
          <w:rFonts w:ascii="Arial" w:eastAsia="Arial" w:hAnsi="Arial" w:cs="Arial"/>
          <w:color w:val="000000"/>
        </w:rPr>
        <w:t>GHG inventory workshops on the 2006 IPCC methodology, data organization, and management for the two prioritized categories – solid waste disposal on land and emissions of fluorinated gases (March 2023, Tashkent).</w:t>
      </w:r>
    </w:p>
    <w:p w:rsidR="004F5898" w:rsidRDefault="00E01593">
      <w:pPr>
        <w:widowControl w:val="0"/>
        <w:numPr>
          <w:ilvl w:val="0"/>
          <w:numId w:val="2"/>
        </w:numPr>
        <w:pBdr>
          <w:top w:val="nil"/>
          <w:left w:val="nil"/>
          <w:bottom w:val="nil"/>
          <w:right w:val="nil"/>
          <w:between w:val="nil"/>
        </w:pBdr>
        <w:tabs>
          <w:tab w:val="left" w:pos="1418"/>
        </w:tabs>
        <w:spacing w:after="0" w:line="240" w:lineRule="auto"/>
        <w:jc w:val="both"/>
        <w:rPr>
          <w:rFonts w:ascii="Arial" w:eastAsia="Arial" w:hAnsi="Arial" w:cs="Arial"/>
          <w:color w:val="000000"/>
        </w:rPr>
      </w:pPr>
      <w:r>
        <w:rPr>
          <w:rFonts w:ascii="Arial" w:eastAsia="Arial" w:hAnsi="Arial" w:cs="Arial"/>
          <w:color w:val="000000"/>
        </w:rPr>
        <w:lastRenderedPageBreak/>
        <w:t>The webinars and thematic workshop on the national climate MRV systems for the inventory and data flow mapping, including the QA/QC and uncertainty aspects. These were based on the example from the energy sector with the real scenarios for each of the Central Asian countries (September 2023, Istanbul).</w:t>
      </w:r>
    </w:p>
    <w:p w:rsidR="004F5898" w:rsidRDefault="00E01593">
      <w:pPr>
        <w:widowControl w:val="0"/>
        <w:numPr>
          <w:ilvl w:val="0"/>
          <w:numId w:val="2"/>
        </w:numPr>
        <w:pBdr>
          <w:top w:val="nil"/>
          <w:left w:val="nil"/>
          <w:bottom w:val="nil"/>
          <w:right w:val="nil"/>
          <w:between w:val="nil"/>
        </w:pBdr>
        <w:tabs>
          <w:tab w:val="left" w:pos="1418"/>
        </w:tabs>
        <w:spacing w:after="0" w:line="240" w:lineRule="auto"/>
        <w:jc w:val="both"/>
        <w:rPr>
          <w:rFonts w:ascii="Arial" w:eastAsia="Arial" w:hAnsi="Arial" w:cs="Arial"/>
          <w:color w:val="000000"/>
        </w:rPr>
      </w:pPr>
      <w:r>
        <w:rPr>
          <w:rFonts w:ascii="Arial" w:eastAsia="Arial" w:hAnsi="Arial" w:cs="Arial"/>
          <w:color w:val="000000"/>
        </w:rPr>
        <w:t>Developing a good understanding of data acquisition for preparing national GHG projections based on gaps and needs analysis for Central Asia including a peer-to-peer knowledge exchange and lessons learned from previously developed GHG projections and scenarios; and developing step-by-step instructions and checklists for national GHG projection activities (May 2023, Dushanbe).</w:t>
      </w:r>
    </w:p>
    <w:p w:rsidR="004F5898" w:rsidRDefault="00E01593">
      <w:pPr>
        <w:widowControl w:val="0"/>
        <w:numPr>
          <w:ilvl w:val="0"/>
          <w:numId w:val="2"/>
        </w:numPr>
        <w:pBdr>
          <w:top w:val="nil"/>
          <w:left w:val="nil"/>
          <w:bottom w:val="nil"/>
          <w:right w:val="nil"/>
          <w:between w:val="nil"/>
        </w:pBdr>
        <w:tabs>
          <w:tab w:val="left" w:pos="1418"/>
        </w:tabs>
        <w:spacing w:after="0" w:line="240" w:lineRule="auto"/>
        <w:jc w:val="both"/>
        <w:rPr>
          <w:rFonts w:ascii="Arial" w:eastAsia="Arial" w:hAnsi="Arial" w:cs="Arial"/>
          <w:color w:val="000000"/>
        </w:rPr>
      </w:pPr>
      <w:r>
        <w:rPr>
          <w:rFonts w:ascii="Arial" w:eastAsia="Arial" w:hAnsi="Arial" w:cs="Arial"/>
          <w:color w:val="000000"/>
        </w:rPr>
        <w:t>A dedicated workshop on climate MRV policies and measures and adaptation to strengthen the technical capacity of national experts in Central Asia with a focus on data collection and processing for reporting elements related to climate change mitigation, tracking, adaptation and transparency under the Enhanced Transparency Framework (ETF). The training aimed at gaining experience in the field of climate change reporting requirements, data collection methods, formats, and deadlines provided for by the Paris Agreement. The workshop was further supported by the follow-up webinars (October 2023, Ashgabat).</w:t>
      </w:r>
    </w:p>
    <w:p w:rsidR="004F5898" w:rsidRDefault="00E01593">
      <w:pPr>
        <w:widowControl w:val="0"/>
        <w:numPr>
          <w:ilvl w:val="0"/>
          <w:numId w:val="2"/>
        </w:numPr>
        <w:pBdr>
          <w:top w:val="nil"/>
          <w:left w:val="nil"/>
          <w:bottom w:val="nil"/>
          <w:right w:val="nil"/>
          <w:between w:val="nil"/>
        </w:pBdr>
        <w:tabs>
          <w:tab w:val="left" w:pos="1418"/>
        </w:tabs>
        <w:spacing w:after="0" w:line="240" w:lineRule="auto"/>
        <w:jc w:val="both"/>
        <w:rPr>
          <w:rFonts w:ascii="Arial" w:eastAsia="Arial" w:hAnsi="Arial" w:cs="Arial"/>
          <w:color w:val="000000"/>
        </w:rPr>
      </w:pPr>
      <w:r>
        <w:rPr>
          <w:rFonts w:ascii="Arial" w:eastAsia="Arial" w:hAnsi="Arial" w:cs="Arial"/>
          <w:color w:val="000000"/>
        </w:rPr>
        <w:t>Climate Finance training to build on the UNFCCC’s Needs-based Finance (NBS) Project, which developed a regional climate finance access and mobilization strategy for the Central Asian region. The underlying technical assessment identified the lack of a robust MRV system as one of the barriers to scaling up climate action and as an impediment to accessing support (March 2024, Tashkent).</w:t>
      </w:r>
    </w:p>
    <w:p w:rsidR="004F5898" w:rsidRDefault="004F5898">
      <w:pPr>
        <w:tabs>
          <w:tab w:val="left" w:pos="1418"/>
        </w:tabs>
        <w:jc w:val="both"/>
        <w:rPr>
          <w:rFonts w:ascii="Arial" w:eastAsia="Arial" w:hAnsi="Arial" w:cs="Arial"/>
        </w:rPr>
      </w:pPr>
    </w:p>
    <w:p w:rsidR="004F5898" w:rsidRDefault="00E01593">
      <w:pPr>
        <w:tabs>
          <w:tab w:val="left" w:pos="1418"/>
        </w:tabs>
        <w:jc w:val="both"/>
        <w:rPr>
          <w:rFonts w:ascii="Arial" w:eastAsia="Arial" w:hAnsi="Arial" w:cs="Arial"/>
          <w:b/>
          <w:color w:val="002060"/>
          <w:sz w:val="24"/>
          <w:szCs w:val="24"/>
        </w:rPr>
      </w:pPr>
      <w:r>
        <w:rPr>
          <w:rFonts w:ascii="Arial" w:eastAsia="Arial" w:hAnsi="Arial" w:cs="Arial"/>
          <w:b/>
          <w:color w:val="002060"/>
          <w:sz w:val="24"/>
          <w:szCs w:val="24"/>
        </w:rPr>
        <w:t>Objective</w:t>
      </w:r>
    </w:p>
    <w:p w:rsidR="004F5898" w:rsidRDefault="00E01593">
      <w:pPr>
        <w:tabs>
          <w:tab w:val="left" w:pos="1418"/>
        </w:tabs>
        <w:jc w:val="both"/>
        <w:rPr>
          <w:rFonts w:ascii="Arial" w:eastAsia="Arial" w:hAnsi="Arial" w:cs="Arial"/>
        </w:rPr>
      </w:pPr>
      <w:r>
        <w:rPr>
          <w:rFonts w:ascii="Arial" w:eastAsia="Arial" w:hAnsi="Arial" w:cs="Arial"/>
        </w:rPr>
        <w:t xml:space="preserve">The event will review key achievements from </w:t>
      </w:r>
      <w:proofErr w:type="spellStart"/>
      <w:r>
        <w:rPr>
          <w:rFonts w:ascii="Arial" w:eastAsia="Arial" w:hAnsi="Arial" w:cs="Arial"/>
        </w:rPr>
        <w:t>ReCATH’s</w:t>
      </w:r>
      <w:proofErr w:type="spellEnd"/>
      <w:r>
        <w:rPr>
          <w:rFonts w:ascii="Arial" w:eastAsia="Arial" w:hAnsi="Arial" w:cs="Arial"/>
        </w:rPr>
        <w:t xml:space="preserve"> first phase, highlighting the capacity building of national and regional experts on greenhouse gas inventory management, adaptation tracking, and climate finance. It will also discuss needs in advancing climate transparency across Central Asia and outline plans for expanding the project into new areas of engagement and deeper in-country support. </w:t>
      </w:r>
    </w:p>
    <w:p w:rsidR="004F5898" w:rsidRDefault="00E01593">
      <w:pPr>
        <w:tabs>
          <w:tab w:val="left" w:pos="1418"/>
        </w:tabs>
        <w:jc w:val="both"/>
        <w:rPr>
          <w:rFonts w:ascii="Arial" w:eastAsia="Arial" w:hAnsi="Arial" w:cs="Arial"/>
          <w:b/>
        </w:rPr>
      </w:pPr>
      <w:r>
        <w:rPr>
          <w:rFonts w:ascii="Arial" w:eastAsia="Arial" w:hAnsi="Arial" w:cs="Arial"/>
          <w:b/>
        </w:rPr>
        <w:t>Other objectives include:</w:t>
      </w:r>
    </w:p>
    <w:p w:rsidR="004F5898" w:rsidRDefault="00E01593">
      <w:pPr>
        <w:numPr>
          <w:ilvl w:val="0"/>
          <w:numId w:val="3"/>
        </w:numPr>
        <w:pBdr>
          <w:top w:val="nil"/>
          <w:left w:val="nil"/>
          <w:bottom w:val="nil"/>
          <w:right w:val="nil"/>
          <w:between w:val="nil"/>
        </w:pBdr>
        <w:tabs>
          <w:tab w:val="left" w:pos="1418"/>
        </w:tabs>
        <w:spacing w:after="0"/>
        <w:jc w:val="both"/>
        <w:rPr>
          <w:rFonts w:ascii="Arial" w:eastAsia="Arial" w:hAnsi="Arial" w:cs="Arial"/>
          <w:color w:val="000000"/>
        </w:rPr>
      </w:pPr>
      <w:r>
        <w:rPr>
          <w:rFonts w:ascii="Arial" w:eastAsia="Arial" w:hAnsi="Arial" w:cs="Arial"/>
          <w:color w:val="000000"/>
        </w:rPr>
        <w:t xml:space="preserve">Lessons Learned: A reflection on the success of </w:t>
      </w:r>
      <w:proofErr w:type="spellStart"/>
      <w:r>
        <w:rPr>
          <w:rFonts w:ascii="Arial" w:eastAsia="Arial" w:hAnsi="Arial" w:cs="Arial"/>
          <w:color w:val="000000"/>
        </w:rPr>
        <w:t>ReCATH’s</w:t>
      </w:r>
      <w:proofErr w:type="spellEnd"/>
      <w:r>
        <w:rPr>
          <w:rFonts w:ascii="Arial" w:eastAsia="Arial" w:hAnsi="Arial" w:cs="Arial"/>
          <w:color w:val="000000"/>
        </w:rPr>
        <w:t xml:space="preserve"> first phase, including strengthened national capacities in Kazakhstan, Uzbekistan, Kyrgyzstan, Tajikistan, and Turkmenistan in climate transparency and reporting under the Paris Agreement. Focus on specific country case studies, such as Kazakhstan’s improvements in GHG inventory systems and Tajikistan’s advancements in tracking adaptation measures.</w:t>
      </w:r>
    </w:p>
    <w:p w:rsidR="004F5898" w:rsidRDefault="00E01593">
      <w:pPr>
        <w:numPr>
          <w:ilvl w:val="0"/>
          <w:numId w:val="3"/>
        </w:numPr>
        <w:pBdr>
          <w:top w:val="nil"/>
          <w:left w:val="nil"/>
          <w:bottom w:val="nil"/>
          <w:right w:val="nil"/>
          <w:between w:val="nil"/>
        </w:pBdr>
        <w:tabs>
          <w:tab w:val="left" w:pos="1418"/>
        </w:tabs>
        <w:spacing w:after="0"/>
        <w:jc w:val="both"/>
        <w:rPr>
          <w:rFonts w:ascii="Arial" w:eastAsia="Arial" w:hAnsi="Arial" w:cs="Arial"/>
          <w:color w:val="000000"/>
        </w:rPr>
      </w:pPr>
      <w:r>
        <w:rPr>
          <w:rFonts w:ascii="Arial" w:eastAsia="Arial" w:hAnsi="Arial" w:cs="Arial"/>
          <w:color w:val="000000"/>
        </w:rPr>
        <w:t>Existing Gaps and Regional Needs: Despite progress, Central Asia faces ongoing challenges in data collection, institutional coordination, and financial mobilization for climate action. The session will provide an overview of these gaps, with recommendations for addressing them in the next phase of ReCATH.</w:t>
      </w:r>
    </w:p>
    <w:p w:rsidR="004F5898" w:rsidRDefault="00E01593">
      <w:pPr>
        <w:numPr>
          <w:ilvl w:val="0"/>
          <w:numId w:val="3"/>
        </w:numPr>
        <w:pBdr>
          <w:top w:val="nil"/>
          <w:left w:val="nil"/>
          <w:bottom w:val="nil"/>
          <w:right w:val="nil"/>
          <w:between w:val="nil"/>
        </w:pBdr>
        <w:tabs>
          <w:tab w:val="left" w:pos="1418"/>
        </w:tabs>
        <w:spacing w:after="0"/>
        <w:jc w:val="both"/>
        <w:rPr>
          <w:rFonts w:ascii="Arial" w:eastAsia="Arial" w:hAnsi="Arial" w:cs="Arial"/>
          <w:color w:val="000000"/>
        </w:rPr>
      </w:pPr>
      <w:r>
        <w:rPr>
          <w:rFonts w:ascii="Arial" w:eastAsia="Arial" w:hAnsi="Arial" w:cs="Arial"/>
          <w:color w:val="000000"/>
        </w:rPr>
        <w:t>Possible Regional Project Initiatives:</w:t>
      </w:r>
    </w:p>
    <w:p w:rsidR="004F5898" w:rsidRDefault="00E01593">
      <w:pPr>
        <w:numPr>
          <w:ilvl w:val="0"/>
          <w:numId w:val="4"/>
        </w:numPr>
        <w:pBdr>
          <w:top w:val="nil"/>
          <w:left w:val="nil"/>
          <w:bottom w:val="nil"/>
          <w:right w:val="nil"/>
          <w:between w:val="nil"/>
        </w:pBdr>
        <w:tabs>
          <w:tab w:val="left" w:pos="1418"/>
        </w:tabs>
        <w:spacing w:after="0"/>
        <w:ind w:left="1701"/>
        <w:jc w:val="both"/>
        <w:rPr>
          <w:rFonts w:ascii="Arial" w:eastAsia="Arial" w:hAnsi="Arial" w:cs="Arial"/>
          <w:color w:val="000000"/>
        </w:rPr>
      </w:pPr>
      <w:r>
        <w:rPr>
          <w:rFonts w:ascii="Arial" w:eastAsia="Arial" w:hAnsi="Arial" w:cs="Arial"/>
          <w:color w:val="000000"/>
        </w:rPr>
        <w:t>Discuss plans for expanding the project to establish working groups that provide in-country support for national reports, LLINs, inventory reviews, and the development of ambitious climate action plans. The focus will be on making these countries more transparent and effective in their climate actions on the international stage.</w:t>
      </w:r>
    </w:p>
    <w:p w:rsidR="004F5898" w:rsidRDefault="00E01593">
      <w:pPr>
        <w:numPr>
          <w:ilvl w:val="0"/>
          <w:numId w:val="4"/>
        </w:numPr>
        <w:pBdr>
          <w:top w:val="nil"/>
          <w:left w:val="nil"/>
          <w:bottom w:val="nil"/>
          <w:right w:val="nil"/>
          <w:between w:val="nil"/>
        </w:pBdr>
        <w:tabs>
          <w:tab w:val="left" w:pos="1418"/>
        </w:tabs>
        <w:ind w:left="1701"/>
        <w:jc w:val="both"/>
        <w:rPr>
          <w:rFonts w:ascii="Arial" w:eastAsia="Arial" w:hAnsi="Arial" w:cs="Arial"/>
          <w:color w:val="000000"/>
        </w:rPr>
      </w:pPr>
      <w:r>
        <w:rPr>
          <w:rFonts w:ascii="Arial" w:eastAsia="Arial" w:hAnsi="Arial" w:cs="Arial"/>
          <w:color w:val="000000"/>
        </w:rPr>
        <w:t>Present strategies for methane emissions reduction in the region, including efforts to capture methane as a clean energy source, thus reducing its global atmospheric impact. This initiative is essential to support international climate goals and promote sustainable development in Central Asia.</w:t>
      </w:r>
    </w:p>
    <w:p w:rsidR="004F5898" w:rsidRDefault="004F5898">
      <w:pPr>
        <w:tabs>
          <w:tab w:val="left" w:pos="1418"/>
        </w:tabs>
        <w:jc w:val="both"/>
        <w:rPr>
          <w:rFonts w:ascii="Arial" w:eastAsia="Arial" w:hAnsi="Arial" w:cs="Arial"/>
          <w:color w:val="002060"/>
        </w:rPr>
      </w:pPr>
    </w:p>
    <w:p w:rsidR="004F5898" w:rsidRDefault="00E01593">
      <w:pPr>
        <w:tabs>
          <w:tab w:val="left" w:pos="1418"/>
        </w:tabs>
        <w:jc w:val="both"/>
        <w:rPr>
          <w:rFonts w:ascii="Arial" w:eastAsia="Arial" w:hAnsi="Arial" w:cs="Arial"/>
          <w:b/>
          <w:color w:val="002060"/>
          <w:sz w:val="24"/>
          <w:szCs w:val="24"/>
        </w:rPr>
      </w:pPr>
      <w:r>
        <w:rPr>
          <w:rFonts w:ascii="Arial" w:eastAsia="Arial" w:hAnsi="Arial" w:cs="Arial"/>
          <w:b/>
          <w:color w:val="002060"/>
          <w:sz w:val="24"/>
          <w:szCs w:val="24"/>
        </w:rPr>
        <w:lastRenderedPageBreak/>
        <w:t xml:space="preserve">Target audience and language </w:t>
      </w:r>
    </w:p>
    <w:p w:rsidR="004F5898" w:rsidRDefault="00E01593">
      <w:pPr>
        <w:spacing w:before="240" w:after="0"/>
        <w:jc w:val="both"/>
        <w:rPr>
          <w:rFonts w:ascii="Arial" w:eastAsia="Arial" w:hAnsi="Arial" w:cs="Arial"/>
        </w:rPr>
      </w:pPr>
      <w:r>
        <w:rPr>
          <w:rFonts w:ascii="Arial" w:eastAsia="Arial" w:hAnsi="Arial" w:cs="Arial"/>
        </w:rPr>
        <w:t xml:space="preserve">his session will engage regional experts, government representatives, and international stakeholders to continue enhancing transparency systems that enable Central Asia to meet its climate obligations and contribute effectively to global climate mitigation efforts. </w:t>
      </w:r>
    </w:p>
    <w:p w:rsidR="004F5898" w:rsidRDefault="00E01593">
      <w:pPr>
        <w:spacing w:before="240"/>
        <w:jc w:val="both"/>
        <w:rPr>
          <w:rFonts w:ascii="Arial" w:eastAsia="Arial" w:hAnsi="Arial" w:cs="Arial"/>
        </w:rPr>
      </w:pPr>
      <w:r>
        <w:rPr>
          <w:rFonts w:ascii="Arial" w:eastAsia="Arial" w:hAnsi="Arial" w:cs="Arial"/>
        </w:rPr>
        <w:t xml:space="preserve">The regional workshop will be held in </w:t>
      </w:r>
      <w:r>
        <w:rPr>
          <w:rFonts w:ascii="Arial" w:eastAsia="Arial" w:hAnsi="Arial" w:cs="Arial"/>
          <w:b/>
        </w:rPr>
        <w:t>Russian</w:t>
      </w:r>
      <w:r>
        <w:rPr>
          <w:rFonts w:ascii="Arial" w:eastAsia="Arial" w:hAnsi="Arial" w:cs="Arial"/>
        </w:rPr>
        <w:t xml:space="preserve"> with simultaneous translation in </w:t>
      </w:r>
      <w:r>
        <w:rPr>
          <w:rFonts w:ascii="Arial" w:eastAsia="Arial" w:hAnsi="Arial" w:cs="Arial"/>
          <w:b/>
        </w:rPr>
        <w:t>English/Russian</w:t>
      </w:r>
      <w:r>
        <w:rPr>
          <w:rFonts w:ascii="Arial" w:eastAsia="Arial" w:hAnsi="Arial" w:cs="Arial"/>
        </w:rPr>
        <w:t xml:space="preserve">. </w:t>
      </w:r>
    </w:p>
    <w:p w:rsidR="004F5898" w:rsidRDefault="004F5898">
      <w:pPr>
        <w:spacing w:before="240"/>
        <w:jc w:val="both"/>
        <w:rPr>
          <w:rFonts w:ascii="Arial" w:eastAsia="Arial" w:hAnsi="Arial" w:cs="Arial"/>
        </w:rPr>
      </w:pPr>
    </w:p>
    <w:p w:rsidR="004F5898" w:rsidRDefault="00E01593">
      <w:pPr>
        <w:tabs>
          <w:tab w:val="left" w:pos="1418"/>
        </w:tabs>
        <w:jc w:val="both"/>
        <w:rPr>
          <w:rFonts w:ascii="Arial" w:eastAsia="Arial" w:hAnsi="Arial" w:cs="Arial"/>
          <w:b/>
          <w:color w:val="002060"/>
          <w:sz w:val="24"/>
          <w:szCs w:val="24"/>
        </w:rPr>
      </w:pPr>
      <w:r>
        <w:rPr>
          <w:rFonts w:ascii="Arial" w:eastAsia="Arial" w:hAnsi="Arial" w:cs="Arial"/>
          <w:b/>
          <w:color w:val="002060"/>
          <w:sz w:val="24"/>
          <w:szCs w:val="24"/>
        </w:rPr>
        <w:t xml:space="preserve">Format of the event </w:t>
      </w:r>
    </w:p>
    <w:p w:rsidR="004F5898" w:rsidRDefault="00E01593">
      <w:pPr>
        <w:spacing w:before="240"/>
        <w:jc w:val="both"/>
        <w:rPr>
          <w:rFonts w:ascii="Arial" w:eastAsia="Arial" w:hAnsi="Arial" w:cs="Arial"/>
        </w:rPr>
      </w:pPr>
      <w:r>
        <w:rPr>
          <w:rFonts w:ascii="Arial" w:eastAsia="Arial" w:hAnsi="Arial" w:cs="Arial"/>
        </w:rPr>
        <w:t xml:space="preserve">The workshop will be in a hybrid mode. Both in-person and online format of participation at the workshop is envisaged.  </w:t>
      </w:r>
    </w:p>
    <w:p w:rsidR="004F5898" w:rsidRDefault="00E01593">
      <w:pPr>
        <w:spacing w:before="240"/>
        <w:jc w:val="both"/>
        <w:rPr>
          <w:rFonts w:ascii="Arial" w:eastAsia="Arial" w:hAnsi="Arial" w:cs="Arial"/>
        </w:rPr>
      </w:pPr>
      <w:r>
        <w:rPr>
          <w:rFonts w:ascii="Arial" w:eastAsia="Arial" w:hAnsi="Arial" w:cs="Arial"/>
          <w:b/>
        </w:rPr>
        <w:t>Venue</w:t>
      </w:r>
      <w:r>
        <w:rPr>
          <w:rFonts w:ascii="Arial" w:eastAsia="Arial" w:hAnsi="Arial" w:cs="Arial"/>
        </w:rPr>
        <w:t>: ____, Blue Zone, 29th Conference of the Parties to the UNFCCC (COP-29), Baku, Republic of Azerbaijan</w:t>
      </w:r>
    </w:p>
    <w:p w:rsidR="004F5898" w:rsidRDefault="00E01593">
      <w:pPr>
        <w:spacing w:before="240"/>
        <w:jc w:val="both"/>
        <w:rPr>
          <w:rFonts w:ascii="Arial" w:eastAsia="Arial" w:hAnsi="Arial" w:cs="Arial"/>
        </w:rPr>
      </w:pPr>
      <w:r>
        <w:rPr>
          <w:rFonts w:ascii="Arial" w:eastAsia="Arial" w:hAnsi="Arial" w:cs="Arial"/>
          <w:b/>
        </w:rPr>
        <w:t>Format of the event</w:t>
      </w:r>
      <w:r>
        <w:rPr>
          <w:rFonts w:ascii="Arial" w:eastAsia="Arial" w:hAnsi="Arial" w:cs="Arial"/>
        </w:rPr>
        <w:t>: In-person</w:t>
      </w:r>
    </w:p>
    <w:p w:rsidR="004F5898" w:rsidRDefault="00E01593">
      <w:pPr>
        <w:spacing w:before="240"/>
        <w:jc w:val="both"/>
        <w:rPr>
          <w:rFonts w:ascii="Arial" w:eastAsia="Arial" w:hAnsi="Arial" w:cs="Arial"/>
        </w:rPr>
      </w:pPr>
      <w:r>
        <w:rPr>
          <w:rFonts w:ascii="Arial" w:eastAsia="Arial" w:hAnsi="Arial" w:cs="Arial"/>
        </w:rPr>
        <w:t xml:space="preserve">Meeting time and date: </w:t>
      </w:r>
    </w:p>
    <w:p w:rsidR="004F5898" w:rsidRDefault="004F5898">
      <w:pPr>
        <w:spacing w:before="240"/>
        <w:jc w:val="both"/>
        <w:rPr>
          <w:rFonts w:ascii="Arial" w:eastAsia="Arial" w:hAnsi="Arial" w:cs="Arial"/>
        </w:rPr>
      </w:pPr>
    </w:p>
    <w:p w:rsidR="004F5898" w:rsidRDefault="00E01593">
      <w:pPr>
        <w:tabs>
          <w:tab w:val="left" w:pos="1418"/>
        </w:tabs>
        <w:jc w:val="both"/>
        <w:rPr>
          <w:rFonts w:ascii="Arial" w:eastAsia="Arial" w:hAnsi="Arial" w:cs="Arial"/>
          <w:b/>
          <w:color w:val="002060"/>
          <w:sz w:val="24"/>
          <w:szCs w:val="24"/>
        </w:rPr>
      </w:pPr>
      <w:r>
        <w:rPr>
          <w:rFonts w:ascii="Arial" w:eastAsia="Arial" w:hAnsi="Arial" w:cs="Arial"/>
          <w:b/>
          <w:color w:val="002060"/>
          <w:sz w:val="24"/>
          <w:szCs w:val="24"/>
        </w:rPr>
        <w:t>Information for online participants:</w:t>
      </w:r>
    </w:p>
    <w:p w:rsidR="004F5898" w:rsidRDefault="004F5898">
      <w:pPr>
        <w:tabs>
          <w:tab w:val="left" w:pos="1418"/>
        </w:tabs>
        <w:jc w:val="both"/>
        <w:rPr>
          <w:rFonts w:ascii="Arial" w:eastAsia="Arial" w:hAnsi="Arial" w:cs="Arial"/>
          <w:b/>
          <w:color w:val="002060"/>
          <w:sz w:val="24"/>
          <w:szCs w:val="24"/>
        </w:rPr>
      </w:pPr>
    </w:p>
    <w:p w:rsidR="004F5898" w:rsidRDefault="004F5898">
      <w:pPr>
        <w:tabs>
          <w:tab w:val="left" w:pos="1418"/>
        </w:tabs>
        <w:jc w:val="both"/>
        <w:rPr>
          <w:rFonts w:ascii="Arial" w:eastAsia="Arial" w:hAnsi="Arial" w:cs="Arial"/>
          <w:b/>
          <w:color w:val="002060"/>
          <w:sz w:val="24"/>
          <w:szCs w:val="24"/>
        </w:rPr>
      </w:pPr>
    </w:p>
    <w:p w:rsidR="004F5898" w:rsidRDefault="004F5898">
      <w:pPr>
        <w:spacing w:before="240"/>
        <w:jc w:val="both"/>
        <w:rPr>
          <w:rFonts w:ascii="Arial" w:eastAsia="Arial" w:hAnsi="Arial" w:cs="Arial"/>
        </w:rPr>
      </w:pPr>
    </w:p>
    <w:p w:rsidR="004F5898" w:rsidRDefault="004F5898">
      <w:pPr>
        <w:spacing w:before="240"/>
        <w:jc w:val="both"/>
        <w:rPr>
          <w:rFonts w:ascii="Arial" w:eastAsia="Arial" w:hAnsi="Arial" w:cs="Arial"/>
        </w:rPr>
      </w:pPr>
    </w:p>
    <w:p w:rsidR="004F5898" w:rsidRDefault="00E01593">
      <w:pPr>
        <w:rPr>
          <w:rFonts w:ascii="Arial" w:eastAsia="Arial" w:hAnsi="Arial" w:cs="Arial"/>
          <w:color w:val="000000"/>
          <w:sz w:val="24"/>
          <w:szCs w:val="24"/>
        </w:rPr>
      </w:pPr>
      <w:r>
        <w:br w:type="page"/>
      </w:r>
    </w:p>
    <w:p w:rsidR="004F5898" w:rsidRDefault="00E01593">
      <w:pPr>
        <w:pBdr>
          <w:bottom w:val="single" w:sz="4" w:space="1" w:color="000000"/>
        </w:pBdr>
        <w:spacing w:before="160" w:after="0" w:line="240" w:lineRule="auto"/>
        <w:jc w:val="center"/>
        <w:rPr>
          <w:rFonts w:ascii="Arial" w:eastAsia="Arial" w:hAnsi="Arial" w:cs="Arial"/>
          <w:b/>
          <w:color w:val="002060"/>
          <w:sz w:val="32"/>
          <w:szCs w:val="32"/>
        </w:rPr>
      </w:pPr>
      <w:r>
        <w:rPr>
          <w:rFonts w:ascii="Arial" w:eastAsia="Arial" w:hAnsi="Arial" w:cs="Arial"/>
          <w:b/>
          <w:color w:val="002060"/>
          <w:sz w:val="32"/>
          <w:szCs w:val="32"/>
        </w:rPr>
        <w:lastRenderedPageBreak/>
        <w:t>Regional Climate Action Transparency Hub for Central Asia (ReCATH)</w:t>
      </w:r>
    </w:p>
    <w:p w:rsidR="004F5898" w:rsidRDefault="004F5898">
      <w:pPr>
        <w:pBdr>
          <w:bottom w:val="single" w:sz="4" w:space="1" w:color="000000"/>
        </w:pBdr>
        <w:spacing w:after="0" w:line="240" w:lineRule="auto"/>
        <w:jc w:val="center"/>
        <w:rPr>
          <w:rFonts w:ascii="Arial" w:eastAsia="Arial" w:hAnsi="Arial" w:cs="Arial"/>
          <w:b/>
          <w:color w:val="002060"/>
          <w:sz w:val="32"/>
          <w:szCs w:val="32"/>
        </w:rPr>
      </w:pPr>
    </w:p>
    <w:p w:rsidR="004F5898" w:rsidRDefault="00E01593">
      <w:pPr>
        <w:pBdr>
          <w:bottom w:val="single" w:sz="4" w:space="1" w:color="000000"/>
        </w:pBdr>
        <w:spacing w:after="40" w:line="240" w:lineRule="auto"/>
        <w:jc w:val="center"/>
        <w:rPr>
          <w:b/>
        </w:rPr>
      </w:pPr>
      <w:r>
        <w:rPr>
          <w:rFonts w:ascii="Arial" w:eastAsia="Arial" w:hAnsi="Arial" w:cs="Arial"/>
          <w:b/>
          <w:color w:val="002060"/>
          <w:sz w:val="32"/>
          <w:szCs w:val="32"/>
        </w:rPr>
        <w:t xml:space="preserve">Strengthening Climate Action Transparency in Central Asia: Lessons, Needs, and Future Directions </w:t>
      </w:r>
    </w:p>
    <w:p w:rsidR="004F5898" w:rsidRDefault="00E01593">
      <w:pPr>
        <w:spacing w:before="40" w:after="200" w:line="276" w:lineRule="auto"/>
        <w:jc w:val="center"/>
        <w:rPr>
          <w:rFonts w:ascii="Arial" w:eastAsia="Arial" w:hAnsi="Arial" w:cs="Arial"/>
          <w:b/>
          <w:color w:val="002060"/>
          <w:sz w:val="26"/>
          <w:szCs w:val="26"/>
        </w:rPr>
      </w:pPr>
      <w:r>
        <w:rPr>
          <w:rFonts w:ascii="Arial" w:eastAsia="Arial" w:hAnsi="Arial" w:cs="Arial"/>
          <w:b/>
          <w:color w:val="002060"/>
          <w:sz w:val="26"/>
          <w:szCs w:val="26"/>
        </w:rPr>
        <w:t>20 November 2024, | 11:30 - 13:</w:t>
      </w:r>
      <w:proofErr w:type="gramStart"/>
      <w:r>
        <w:rPr>
          <w:rFonts w:ascii="Arial" w:eastAsia="Arial" w:hAnsi="Arial" w:cs="Arial"/>
          <w:b/>
          <w:color w:val="002060"/>
          <w:sz w:val="26"/>
          <w:szCs w:val="26"/>
        </w:rPr>
        <w:t>00  Kazakhstan</w:t>
      </w:r>
      <w:proofErr w:type="gramEnd"/>
      <w:r>
        <w:rPr>
          <w:rFonts w:ascii="Arial" w:eastAsia="Arial" w:hAnsi="Arial" w:cs="Arial"/>
          <w:b/>
          <w:color w:val="002060"/>
          <w:sz w:val="26"/>
          <w:szCs w:val="26"/>
        </w:rPr>
        <w:t xml:space="preserve"> Pavilion, COP 29, Baku, Republic of Azerbaijan</w:t>
      </w:r>
    </w:p>
    <w:p w:rsidR="004F5898" w:rsidRDefault="004F5898">
      <w:pPr>
        <w:spacing w:before="40" w:after="200" w:line="276" w:lineRule="auto"/>
        <w:jc w:val="center"/>
        <w:rPr>
          <w:rFonts w:ascii="Arial" w:eastAsia="Arial" w:hAnsi="Arial" w:cs="Arial"/>
          <w:b/>
          <w:color w:val="002060"/>
          <w:sz w:val="26"/>
          <w:szCs w:val="26"/>
        </w:rPr>
      </w:pPr>
    </w:p>
    <w:p w:rsidR="004F5898" w:rsidRDefault="00E01593">
      <w:pPr>
        <w:spacing w:after="0" w:line="240" w:lineRule="auto"/>
        <w:jc w:val="center"/>
        <w:rPr>
          <w:rFonts w:ascii="Arial" w:eastAsia="Arial" w:hAnsi="Arial" w:cs="Arial"/>
          <w:b/>
          <w:color w:val="002060"/>
          <w:sz w:val="32"/>
          <w:szCs w:val="32"/>
        </w:rPr>
      </w:pPr>
      <w:r>
        <w:rPr>
          <w:rFonts w:ascii="Arial" w:eastAsia="Arial" w:hAnsi="Arial" w:cs="Arial"/>
          <w:b/>
          <w:color w:val="002060"/>
          <w:sz w:val="32"/>
          <w:szCs w:val="32"/>
        </w:rPr>
        <w:t>Agenda</w:t>
      </w:r>
    </w:p>
    <w:p w:rsidR="004F5898" w:rsidRDefault="004F5898">
      <w:pPr>
        <w:spacing w:after="0" w:line="240" w:lineRule="auto"/>
        <w:jc w:val="center"/>
        <w:rPr>
          <w:rFonts w:ascii="Arial" w:eastAsia="Arial" w:hAnsi="Arial" w:cs="Arial"/>
          <w:b/>
          <w:color w:val="002060"/>
          <w:sz w:val="32"/>
          <w:szCs w:val="32"/>
        </w:rPr>
      </w:pPr>
    </w:p>
    <w:tbl>
      <w:tblPr>
        <w:tblStyle w:val="af9"/>
        <w:tblW w:w="96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699"/>
      </w:tblGrid>
      <w:tr w:rsidR="004F5898">
        <w:trPr>
          <w:trHeight w:val="433"/>
          <w:jc w:val="center"/>
        </w:trPr>
        <w:tc>
          <w:tcPr>
            <w:tcW w:w="9679" w:type="dxa"/>
            <w:gridSpan w:val="2"/>
            <w:shd w:val="clear" w:color="auto" w:fill="7E84A1"/>
            <w:vAlign w:val="center"/>
          </w:tcPr>
          <w:p w:rsidR="004F5898" w:rsidRDefault="00E01593">
            <w:pPr>
              <w:tabs>
                <w:tab w:val="left" w:pos="1665"/>
              </w:tabs>
              <w:ind w:right="3" w:hanging="584"/>
              <w:jc w:val="center"/>
              <w:rPr>
                <w:rFonts w:ascii="Arial" w:eastAsia="Arial" w:hAnsi="Arial" w:cs="Arial"/>
                <w:b/>
                <w:color w:val="002060"/>
                <w:sz w:val="26"/>
                <w:szCs w:val="26"/>
              </w:rPr>
            </w:pPr>
            <w:bookmarkStart w:id="2" w:name="_heading=h.30j0zll" w:colFirst="0" w:colLast="0"/>
            <w:bookmarkEnd w:id="2"/>
            <w:r>
              <w:rPr>
                <w:rFonts w:ascii="Arial" w:eastAsia="Arial" w:hAnsi="Arial" w:cs="Arial"/>
                <w:b/>
                <w:color w:val="FFFFFF"/>
                <w:sz w:val="26"/>
                <w:szCs w:val="26"/>
              </w:rPr>
              <w:t>20 November 2024</w:t>
            </w:r>
          </w:p>
        </w:tc>
      </w:tr>
      <w:tr w:rsidR="004F5898">
        <w:trPr>
          <w:trHeight w:val="657"/>
          <w:jc w:val="center"/>
        </w:trPr>
        <w:tc>
          <w:tcPr>
            <w:tcW w:w="9679" w:type="dxa"/>
            <w:gridSpan w:val="2"/>
            <w:shd w:val="clear" w:color="auto" w:fill="F2F2F2"/>
            <w:vAlign w:val="center"/>
          </w:tcPr>
          <w:p w:rsidR="004F5898" w:rsidRDefault="00E01593">
            <w:pPr>
              <w:tabs>
                <w:tab w:val="left" w:pos="1665"/>
              </w:tabs>
              <w:ind w:right="3"/>
              <w:rPr>
                <w:rFonts w:ascii="Arial" w:eastAsia="Arial" w:hAnsi="Arial" w:cs="Arial"/>
                <w:b/>
                <w:i/>
                <w:color w:val="002060"/>
              </w:rPr>
            </w:pPr>
            <w:r>
              <w:rPr>
                <w:rFonts w:ascii="Arial" w:eastAsia="Arial" w:hAnsi="Arial" w:cs="Arial"/>
                <w:b/>
                <w:i/>
                <w:color w:val="002060"/>
              </w:rPr>
              <w:t>Moderator</w:t>
            </w:r>
            <w:r>
              <w:rPr>
                <w:rFonts w:ascii="Arial" w:eastAsia="Arial" w:hAnsi="Arial" w:cs="Arial"/>
                <w:i/>
                <w:color w:val="002060"/>
              </w:rPr>
              <w:t xml:space="preserve">: </w:t>
            </w:r>
            <w:proofErr w:type="spellStart"/>
            <w:r>
              <w:rPr>
                <w:rFonts w:ascii="Arial" w:eastAsia="Arial" w:hAnsi="Arial" w:cs="Arial"/>
                <w:b/>
                <w:i/>
                <w:color w:val="002060"/>
              </w:rPr>
              <w:t>Dilovarsho</w:t>
            </w:r>
            <w:proofErr w:type="spellEnd"/>
            <w:r>
              <w:rPr>
                <w:rFonts w:ascii="Arial" w:eastAsia="Arial" w:hAnsi="Arial" w:cs="Arial"/>
                <w:b/>
                <w:i/>
                <w:color w:val="002060"/>
              </w:rPr>
              <w:t xml:space="preserve"> </w:t>
            </w:r>
            <w:proofErr w:type="spellStart"/>
            <w:r>
              <w:rPr>
                <w:rFonts w:ascii="Arial" w:eastAsia="Arial" w:hAnsi="Arial" w:cs="Arial"/>
                <w:b/>
                <w:i/>
                <w:color w:val="002060"/>
              </w:rPr>
              <w:t>Dustzoda</w:t>
            </w:r>
            <w:proofErr w:type="spellEnd"/>
            <w:r>
              <w:rPr>
                <w:rFonts w:ascii="Arial" w:eastAsia="Arial" w:hAnsi="Arial" w:cs="Arial"/>
                <w:b/>
                <w:i/>
                <w:color w:val="002060"/>
              </w:rPr>
              <w:t>, ReCATH project  manager</w:t>
            </w:r>
          </w:p>
        </w:tc>
      </w:tr>
      <w:tr w:rsidR="004F5898">
        <w:trPr>
          <w:trHeight w:val="1404"/>
          <w:jc w:val="center"/>
        </w:trPr>
        <w:tc>
          <w:tcPr>
            <w:tcW w:w="1980" w:type="dxa"/>
            <w:vAlign w:val="center"/>
          </w:tcPr>
          <w:p w:rsidR="004F5898" w:rsidRDefault="00E01593">
            <w:pPr>
              <w:tabs>
                <w:tab w:val="left" w:pos="1665"/>
              </w:tabs>
              <w:ind w:right="3"/>
              <w:rPr>
                <w:rFonts w:ascii="Arial" w:eastAsia="Arial" w:hAnsi="Arial" w:cs="Arial"/>
                <w:color w:val="002060"/>
              </w:rPr>
            </w:pPr>
            <w:r>
              <w:rPr>
                <w:rFonts w:ascii="Arial" w:eastAsia="Arial" w:hAnsi="Arial" w:cs="Arial"/>
                <w:color w:val="002060"/>
              </w:rPr>
              <w:t xml:space="preserve">11:30 - 12:00  </w:t>
            </w:r>
          </w:p>
        </w:tc>
        <w:tc>
          <w:tcPr>
            <w:tcW w:w="7699" w:type="dxa"/>
            <w:vAlign w:val="center"/>
          </w:tcPr>
          <w:p w:rsidR="004F5898" w:rsidRDefault="00E01593">
            <w:pPr>
              <w:ind w:right="3"/>
              <w:jc w:val="both"/>
              <w:rPr>
                <w:rFonts w:ascii="Arial" w:eastAsia="Arial" w:hAnsi="Arial" w:cs="Arial"/>
                <w:b/>
                <w:color w:val="002060"/>
              </w:rPr>
            </w:pPr>
            <w:r>
              <w:rPr>
                <w:rFonts w:ascii="Arial" w:eastAsia="Arial" w:hAnsi="Arial" w:cs="Arial"/>
                <w:b/>
                <w:color w:val="002060"/>
              </w:rPr>
              <w:t>Opening Remarks:</w:t>
            </w:r>
          </w:p>
          <w:p w:rsidR="004F5898" w:rsidRDefault="00E01593">
            <w:pPr>
              <w:numPr>
                <w:ilvl w:val="0"/>
                <w:numId w:val="6"/>
              </w:numPr>
              <w:pBdr>
                <w:top w:val="nil"/>
                <w:left w:val="nil"/>
                <w:bottom w:val="nil"/>
                <w:right w:val="nil"/>
                <w:between w:val="nil"/>
              </w:pBdr>
              <w:spacing w:after="0" w:line="240" w:lineRule="auto"/>
              <w:ind w:left="455" w:right="3"/>
              <w:jc w:val="both"/>
              <w:rPr>
                <w:rFonts w:ascii="Arial" w:eastAsia="Arial" w:hAnsi="Arial" w:cs="Arial"/>
                <w:i/>
                <w:color w:val="002060"/>
              </w:rPr>
            </w:pPr>
            <w:r>
              <w:rPr>
                <w:rFonts w:ascii="Arial" w:eastAsia="Arial" w:hAnsi="Arial" w:cs="Arial"/>
                <w:i/>
                <w:color w:val="002060"/>
              </w:rPr>
              <w:t xml:space="preserve">Mansur </w:t>
            </w:r>
            <w:proofErr w:type="spellStart"/>
            <w:r>
              <w:rPr>
                <w:rFonts w:ascii="Arial" w:eastAsia="Arial" w:hAnsi="Arial" w:cs="Arial"/>
                <w:i/>
                <w:color w:val="002060"/>
              </w:rPr>
              <w:t>Oshurbaev</w:t>
            </w:r>
            <w:proofErr w:type="spellEnd"/>
            <w:r>
              <w:rPr>
                <w:rFonts w:ascii="Arial" w:eastAsia="Arial" w:hAnsi="Arial" w:cs="Arial"/>
                <w:i/>
                <w:color w:val="002060"/>
              </w:rPr>
              <w:t>, Vice-Minister of Ecology and Natural Resources of the Republic of Kazakhstan</w:t>
            </w:r>
          </w:p>
          <w:p w:rsidR="005B01F1" w:rsidRDefault="00E01593" w:rsidP="005B01F1">
            <w:pPr>
              <w:numPr>
                <w:ilvl w:val="0"/>
                <w:numId w:val="6"/>
              </w:numPr>
              <w:pBdr>
                <w:top w:val="nil"/>
                <w:left w:val="nil"/>
                <w:bottom w:val="nil"/>
                <w:right w:val="nil"/>
                <w:between w:val="nil"/>
              </w:pBdr>
              <w:spacing w:after="0" w:line="240" w:lineRule="auto"/>
              <w:ind w:left="455" w:right="3"/>
              <w:jc w:val="both"/>
              <w:rPr>
                <w:rFonts w:ascii="Arial" w:eastAsia="Arial" w:hAnsi="Arial" w:cs="Arial"/>
                <w:i/>
                <w:color w:val="002060"/>
              </w:rPr>
            </w:pPr>
            <w:r>
              <w:rPr>
                <w:rFonts w:ascii="Arial" w:eastAsia="Arial" w:hAnsi="Arial" w:cs="Arial"/>
                <w:i/>
                <w:color w:val="002060"/>
              </w:rPr>
              <w:t xml:space="preserve">Zafar </w:t>
            </w:r>
            <w:proofErr w:type="spellStart"/>
            <w:r>
              <w:rPr>
                <w:rFonts w:ascii="Arial" w:eastAsia="Arial" w:hAnsi="Arial" w:cs="Arial"/>
                <w:i/>
                <w:color w:val="002060"/>
              </w:rPr>
              <w:t>Makhmudov</w:t>
            </w:r>
            <w:proofErr w:type="spellEnd"/>
            <w:r>
              <w:rPr>
                <w:rFonts w:ascii="Arial" w:eastAsia="Arial" w:hAnsi="Arial" w:cs="Arial"/>
                <w:i/>
                <w:color w:val="002060"/>
              </w:rPr>
              <w:t>, Executive Director, CAREC</w:t>
            </w:r>
          </w:p>
          <w:p w:rsidR="004F5898" w:rsidRPr="005B01F1" w:rsidRDefault="000C4FE5" w:rsidP="005B01F1">
            <w:pPr>
              <w:numPr>
                <w:ilvl w:val="0"/>
                <w:numId w:val="6"/>
              </w:numPr>
              <w:pBdr>
                <w:top w:val="nil"/>
                <w:left w:val="nil"/>
                <w:bottom w:val="nil"/>
                <w:right w:val="nil"/>
                <w:between w:val="nil"/>
              </w:pBdr>
              <w:spacing w:after="0" w:line="240" w:lineRule="auto"/>
              <w:ind w:left="455" w:right="3"/>
              <w:jc w:val="both"/>
              <w:rPr>
                <w:rFonts w:ascii="Arial" w:eastAsia="Arial" w:hAnsi="Arial" w:cs="Arial"/>
                <w:i/>
                <w:color w:val="002060"/>
              </w:rPr>
            </w:pPr>
            <w:r w:rsidRPr="005B01F1">
              <w:rPr>
                <w:rFonts w:ascii="Arial" w:hAnsi="Arial" w:cs="Arial"/>
                <w:i/>
                <w:iCs/>
                <w:color w:val="002060"/>
              </w:rPr>
              <w:t xml:space="preserve">Henning </w:t>
            </w:r>
            <w:proofErr w:type="spellStart"/>
            <w:r w:rsidRPr="005B01F1">
              <w:rPr>
                <w:rFonts w:ascii="Arial" w:hAnsi="Arial" w:cs="Arial"/>
                <w:i/>
                <w:iCs/>
                <w:color w:val="002060"/>
              </w:rPr>
              <w:t>Wuester</w:t>
            </w:r>
            <w:proofErr w:type="spellEnd"/>
            <w:r w:rsidRPr="005B01F1">
              <w:rPr>
                <w:rFonts w:ascii="Arial" w:hAnsi="Arial" w:cs="Arial"/>
                <w:i/>
                <w:iCs/>
                <w:color w:val="002060"/>
              </w:rPr>
              <w:t>, Director, ICAT</w:t>
            </w:r>
            <w:r w:rsidRPr="005B01F1">
              <w:rPr>
                <w:rFonts w:ascii="Arial" w:eastAsia="Arial" w:hAnsi="Arial" w:cs="Arial"/>
                <w:i/>
                <w:color w:val="002060"/>
              </w:rPr>
              <w:t xml:space="preserve"> </w:t>
            </w:r>
          </w:p>
          <w:p w:rsidR="000C4FE5" w:rsidRDefault="000C4FE5">
            <w:pPr>
              <w:pBdr>
                <w:top w:val="nil"/>
                <w:left w:val="nil"/>
                <w:bottom w:val="nil"/>
                <w:right w:val="nil"/>
                <w:between w:val="nil"/>
              </w:pBdr>
              <w:spacing w:after="0" w:line="240" w:lineRule="auto"/>
              <w:ind w:left="455" w:right="3"/>
              <w:jc w:val="both"/>
              <w:rPr>
                <w:rFonts w:ascii="Arial" w:eastAsia="Arial" w:hAnsi="Arial" w:cs="Arial"/>
                <w:i/>
                <w:color w:val="002060"/>
              </w:rPr>
            </w:pPr>
          </w:p>
        </w:tc>
      </w:tr>
      <w:tr w:rsidR="004F5898">
        <w:trPr>
          <w:trHeight w:val="402"/>
          <w:jc w:val="center"/>
        </w:trPr>
        <w:tc>
          <w:tcPr>
            <w:tcW w:w="9679" w:type="dxa"/>
            <w:gridSpan w:val="2"/>
            <w:shd w:val="clear" w:color="auto" w:fill="F2F2F2"/>
            <w:vAlign w:val="center"/>
          </w:tcPr>
          <w:p w:rsidR="004F5898" w:rsidRDefault="00E01593">
            <w:pPr>
              <w:tabs>
                <w:tab w:val="left" w:pos="1665"/>
              </w:tabs>
              <w:ind w:right="3"/>
              <w:rPr>
                <w:rFonts w:ascii="Arial" w:eastAsia="Arial" w:hAnsi="Arial" w:cs="Arial"/>
                <w:i/>
                <w:color w:val="002060"/>
              </w:rPr>
            </w:pPr>
            <w:r>
              <w:rPr>
                <w:rFonts w:ascii="Arial" w:eastAsia="Arial" w:hAnsi="Arial" w:cs="Arial"/>
                <w:i/>
                <w:color w:val="002060"/>
              </w:rPr>
              <w:t>Session 1: Lessons Learned from Phase One of ReCATH Implementation</w:t>
            </w:r>
          </w:p>
        </w:tc>
      </w:tr>
      <w:tr w:rsidR="004F5898">
        <w:trPr>
          <w:trHeight w:val="1161"/>
          <w:jc w:val="center"/>
        </w:trPr>
        <w:tc>
          <w:tcPr>
            <w:tcW w:w="1980" w:type="dxa"/>
            <w:vAlign w:val="center"/>
          </w:tcPr>
          <w:p w:rsidR="004F5898" w:rsidRDefault="00E01593">
            <w:pPr>
              <w:tabs>
                <w:tab w:val="left" w:pos="1665"/>
              </w:tabs>
              <w:ind w:right="3"/>
              <w:rPr>
                <w:rFonts w:ascii="Arial" w:eastAsia="Arial" w:hAnsi="Arial" w:cs="Arial"/>
                <w:color w:val="002060"/>
              </w:rPr>
            </w:pPr>
            <w:r>
              <w:rPr>
                <w:rFonts w:ascii="Arial" w:eastAsia="Arial" w:hAnsi="Arial" w:cs="Arial"/>
                <w:color w:val="002060"/>
              </w:rPr>
              <w:t xml:space="preserve">12:00 – 12:10  </w:t>
            </w:r>
          </w:p>
        </w:tc>
        <w:tc>
          <w:tcPr>
            <w:tcW w:w="7699" w:type="dxa"/>
            <w:vAlign w:val="center"/>
          </w:tcPr>
          <w:p w:rsidR="004F5898" w:rsidRDefault="00E01593">
            <w:pPr>
              <w:rPr>
                <w:rFonts w:ascii="Arial" w:eastAsia="Arial" w:hAnsi="Arial" w:cs="Arial"/>
                <w:color w:val="002060"/>
              </w:rPr>
            </w:pPr>
            <w:r>
              <w:rPr>
                <w:rFonts w:ascii="Arial" w:eastAsia="Arial" w:hAnsi="Arial" w:cs="Arial"/>
                <w:color w:val="002060"/>
              </w:rPr>
              <w:t xml:space="preserve">Oxana </w:t>
            </w:r>
            <w:proofErr w:type="spellStart"/>
            <w:r>
              <w:rPr>
                <w:rFonts w:ascii="Arial" w:eastAsia="Arial" w:hAnsi="Arial" w:cs="Arial"/>
                <w:color w:val="002060"/>
              </w:rPr>
              <w:t>Kravtsova</w:t>
            </w:r>
            <w:proofErr w:type="spellEnd"/>
            <w:r>
              <w:rPr>
                <w:rFonts w:ascii="Arial" w:eastAsia="Arial" w:hAnsi="Arial" w:cs="Arial"/>
                <w:color w:val="002060"/>
              </w:rPr>
              <w:t>, ReCATH Project Specialist</w:t>
            </w:r>
          </w:p>
          <w:p w:rsidR="004F5898" w:rsidRDefault="00E01593">
            <w:pPr>
              <w:numPr>
                <w:ilvl w:val="0"/>
                <w:numId w:val="5"/>
              </w:numPr>
              <w:pBdr>
                <w:top w:val="nil"/>
                <w:left w:val="nil"/>
                <w:bottom w:val="nil"/>
                <w:right w:val="nil"/>
                <w:between w:val="nil"/>
              </w:pBdr>
              <w:spacing w:after="0" w:line="240" w:lineRule="auto"/>
              <w:rPr>
                <w:rFonts w:ascii="Arial" w:eastAsia="Arial" w:hAnsi="Arial" w:cs="Arial"/>
                <w:i/>
                <w:color w:val="002060"/>
              </w:rPr>
            </w:pPr>
            <w:r>
              <w:rPr>
                <w:rFonts w:ascii="Arial" w:eastAsia="Arial" w:hAnsi="Arial" w:cs="Arial"/>
                <w:i/>
                <w:color w:val="002060"/>
              </w:rPr>
              <w:t>Capacity building in climate action transparency across Central Asia. Improvements in GHG inventory systems, climate finance access, and adaptation tracking (10 min)</w:t>
            </w:r>
          </w:p>
          <w:p w:rsidR="004F5898" w:rsidRDefault="00E01593">
            <w:pPr>
              <w:numPr>
                <w:ilvl w:val="0"/>
                <w:numId w:val="5"/>
              </w:numPr>
              <w:pBdr>
                <w:top w:val="nil"/>
                <w:left w:val="nil"/>
                <w:bottom w:val="nil"/>
                <w:right w:val="nil"/>
                <w:between w:val="nil"/>
              </w:pBdr>
              <w:spacing w:after="0" w:line="240" w:lineRule="auto"/>
              <w:rPr>
                <w:rFonts w:ascii="Arial" w:eastAsia="Arial" w:hAnsi="Arial" w:cs="Arial"/>
                <w:i/>
                <w:color w:val="002060"/>
              </w:rPr>
            </w:pPr>
            <w:r>
              <w:rPr>
                <w:rFonts w:ascii="Arial" w:eastAsia="Arial" w:hAnsi="Arial" w:cs="Arial"/>
                <w:i/>
                <w:color w:val="002060"/>
              </w:rPr>
              <w:t>Success stories from Kazakhstan, Uzbekistan, Kyrgyzstan, Tajikistan, and Turkmenistan. (10 min)</w:t>
            </w:r>
          </w:p>
          <w:p w:rsidR="004F5898" w:rsidRDefault="004F5898">
            <w:pPr>
              <w:pBdr>
                <w:top w:val="nil"/>
                <w:left w:val="nil"/>
                <w:bottom w:val="nil"/>
                <w:right w:val="nil"/>
                <w:between w:val="nil"/>
              </w:pBdr>
              <w:spacing w:after="0" w:line="240" w:lineRule="auto"/>
              <w:ind w:left="720"/>
              <w:rPr>
                <w:rFonts w:ascii="Arial" w:eastAsia="Arial" w:hAnsi="Arial" w:cs="Arial"/>
                <w:i/>
                <w:color w:val="002060"/>
              </w:rPr>
            </w:pPr>
          </w:p>
        </w:tc>
      </w:tr>
      <w:tr w:rsidR="004F5898">
        <w:trPr>
          <w:trHeight w:val="402"/>
          <w:jc w:val="center"/>
        </w:trPr>
        <w:tc>
          <w:tcPr>
            <w:tcW w:w="9679" w:type="dxa"/>
            <w:gridSpan w:val="2"/>
            <w:shd w:val="clear" w:color="auto" w:fill="F2F2F2"/>
            <w:vAlign w:val="center"/>
          </w:tcPr>
          <w:p w:rsidR="004F5898" w:rsidRDefault="00E01593">
            <w:pPr>
              <w:tabs>
                <w:tab w:val="left" w:pos="1665"/>
              </w:tabs>
              <w:ind w:right="3"/>
              <w:rPr>
                <w:rFonts w:ascii="Arial" w:eastAsia="Arial" w:hAnsi="Arial" w:cs="Arial"/>
                <w:i/>
                <w:color w:val="002060"/>
              </w:rPr>
            </w:pPr>
            <w:r>
              <w:rPr>
                <w:rFonts w:ascii="Arial" w:eastAsia="Arial" w:hAnsi="Arial" w:cs="Arial"/>
                <w:i/>
                <w:color w:val="002060"/>
              </w:rPr>
              <w:t>Session 2: Existing Needs for Strengthening Climate Transparency in Central Asia</w:t>
            </w:r>
          </w:p>
        </w:tc>
      </w:tr>
      <w:tr w:rsidR="004F5898">
        <w:trPr>
          <w:jc w:val="center"/>
        </w:trPr>
        <w:tc>
          <w:tcPr>
            <w:tcW w:w="1980" w:type="dxa"/>
            <w:vAlign w:val="center"/>
          </w:tcPr>
          <w:p w:rsidR="004F5898" w:rsidRDefault="00E01593">
            <w:pPr>
              <w:tabs>
                <w:tab w:val="left" w:pos="1665"/>
              </w:tabs>
              <w:ind w:right="3"/>
              <w:rPr>
                <w:rFonts w:ascii="Arial" w:eastAsia="Arial" w:hAnsi="Arial" w:cs="Arial"/>
                <w:color w:val="002060"/>
              </w:rPr>
            </w:pPr>
            <w:r>
              <w:rPr>
                <w:rFonts w:ascii="Arial" w:eastAsia="Arial" w:hAnsi="Arial" w:cs="Arial"/>
                <w:color w:val="002060"/>
              </w:rPr>
              <w:t xml:space="preserve">12:10 – 12:30 </w:t>
            </w:r>
          </w:p>
        </w:tc>
        <w:tc>
          <w:tcPr>
            <w:tcW w:w="7699" w:type="dxa"/>
            <w:vAlign w:val="center"/>
          </w:tcPr>
          <w:p w:rsidR="004F5898" w:rsidRDefault="00E01593">
            <w:pPr>
              <w:pBdr>
                <w:top w:val="nil"/>
                <w:left w:val="nil"/>
                <w:bottom w:val="nil"/>
                <w:right w:val="nil"/>
                <w:between w:val="nil"/>
              </w:pBdr>
              <w:rPr>
                <w:rFonts w:ascii="Arial" w:eastAsia="Arial" w:hAnsi="Arial" w:cs="Arial"/>
                <w:color w:val="002060"/>
              </w:rPr>
            </w:pPr>
            <w:r>
              <w:rPr>
                <w:rFonts w:ascii="Arial" w:eastAsia="Arial" w:hAnsi="Arial" w:cs="Arial"/>
                <w:color w:val="002060"/>
              </w:rPr>
              <w:t xml:space="preserve">Panel of National Experts from Central Asian countries </w:t>
            </w:r>
            <w:r>
              <w:rPr>
                <w:rFonts w:ascii="Arial" w:eastAsia="Arial" w:hAnsi="Arial" w:cs="Arial"/>
                <w:i/>
                <w:color w:val="002060"/>
              </w:rPr>
              <w:t>(20 min)</w:t>
            </w:r>
          </w:p>
          <w:p w:rsidR="004F5898" w:rsidRDefault="00E01593">
            <w:pPr>
              <w:pBdr>
                <w:top w:val="nil"/>
                <w:left w:val="nil"/>
                <w:bottom w:val="nil"/>
                <w:right w:val="nil"/>
                <w:between w:val="nil"/>
              </w:pBdr>
              <w:ind w:left="455"/>
              <w:rPr>
                <w:rFonts w:ascii="Arial" w:eastAsia="Arial" w:hAnsi="Arial" w:cs="Arial"/>
                <w:color w:val="002060"/>
              </w:rPr>
            </w:pPr>
            <w:r>
              <w:rPr>
                <w:rFonts w:ascii="Arial" w:eastAsia="Arial" w:hAnsi="Arial" w:cs="Arial"/>
                <w:color w:val="002060"/>
              </w:rPr>
              <w:t>Country representatives:</w:t>
            </w:r>
          </w:p>
          <w:p w:rsidR="004F5898" w:rsidRDefault="00E01593">
            <w:pPr>
              <w:numPr>
                <w:ilvl w:val="0"/>
                <w:numId w:val="7"/>
              </w:numPr>
              <w:pBdr>
                <w:top w:val="nil"/>
                <w:left w:val="nil"/>
                <w:bottom w:val="nil"/>
                <w:right w:val="nil"/>
                <w:between w:val="nil"/>
              </w:pBdr>
              <w:spacing w:after="0" w:line="240" w:lineRule="auto"/>
              <w:rPr>
                <w:rFonts w:ascii="Arial" w:eastAsia="Arial" w:hAnsi="Arial" w:cs="Arial"/>
                <w:i/>
                <w:color w:val="002060"/>
              </w:rPr>
            </w:pPr>
            <w:proofErr w:type="spellStart"/>
            <w:r>
              <w:rPr>
                <w:rFonts w:ascii="Arial" w:eastAsia="Arial" w:hAnsi="Arial" w:cs="Arial"/>
                <w:i/>
                <w:color w:val="002060"/>
              </w:rPr>
              <w:t>Aiman</w:t>
            </w:r>
            <w:proofErr w:type="spellEnd"/>
            <w:r>
              <w:rPr>
                <w:rFonts w:ascii="Arial" w:eastAsia="Arial" w:hAnsi="Arial" w:cs="Arial"/>
                <w:i/>
                <w:color w:val="002060"/>
              </w:rPr>
              <w:t xml:space="preserve"> </w:t>
            </w:r>
            <w:proofErr w:type="spellStart"/>
            <w:r>
              <w:rPr>
                <w:rFonts w:ascii="Arial" w:eastAsia="Arial" w:hAnsi="Arial" w:cs="Arial"/>
                <w:i/>
                <w:color w:val="002060"/>
              </w:rPr>
              <w:t>Yessekina</w:t>
            </w:r>
            <w:proofErr w:type="spellEnd"/>
            <w:r>
              <w:rPr>
                <w:rFonts w:ascii="Arial" w:eastAsia="Arial" w:hAnsi="Arial" w:cs="Arial"/>
                <w:i/>
                <w:color w:val="002060"/>
              </w:rPr>
              <w:t xml:space="preserve">, Director of the Greenhouse Gas Inventory Department, JSC </w:t>
            </w:r>
            <w:proofErr w:type="spellStart"/>
            <w:r>
              <w:rPr>
                <w:rFonts w:ascii="Arial" w:eastAsia="Arial" w:hAnsi="Arial" w:cs="Arial"/>
                <w:i/>
                <w:color w:val="002060"/>
              </w:rPr>
              <w:t>Zhasyl</w:t>
            </w:r>
            <w:proofErr w:type="spellEnd"/>
            <w:r>
              <w:rPr>
                <w:rFonts w:ascii="Arial" w:eastAsia="Arial" w:hAnsi="Arial" w:cs="Arial"/>
                <w:i/>
                <w:color w:val="002060"/>
              </w:rPr>
              <w:t xml:space="preserve"> </w:t>
            </w:r>
            <w:proofErr w:type="spellStart"/>
            <w:r>
              <w:rPr>
                <w:rFonts w:ascii="Arial" w:eastAsia="Arial" w:hAnsi="Arial" w:cs="Arial"/>
                <w:i/>
                <w:color w:val="002060"/>
              </w:rPr>
              <w:t>Damu</w:t>
            </w:r>
            <w:proofErr w:type="spellEnd"/>
            <w:r>
              <w:rPr>
                <w:rFonts w:ascii="Arial" w:eastAsia="Arial" w:hAnsi="Arial" w:cs="Arial"/>
                <w:i/>
                <w:color w:val="002060"/>
              </w:rPr>
              <w:t>, Kazakhstan (TBC)</w:t>
            </w:r>
          </w:p>
          <w:p w:rsidR="004F5898" w:rsidRDefault="00E01593">
            <w:pPr>
              <w:numPr>
                <w:ilvl w:val="0"/>
                <w:numId w:val="7"/>
              </w:numPr>
              <w:pBdr>
                <w:top w:val="nil"/>
                <w:left w:val="nil"/>
                <w:bottom w:val="nil"/>
                <w:right w:val="nil"/>
                <w:between w:val="nil"/>
              </w:pBdr>
              <w:spacing w:after="0" w:line="240" w:lineRule="auto"/>
              <w:rPr>
                <w:rFonts w:ascii="Arial" w:eastAsia="Arial" w:hAnsi="Arial" w:cs="Arial"/>
                <w:i/>
                <w:color w:val="002060"/>
              </w:rPr>
            </w:pPr>
            <w:proofErr w:type="spellStart"/>
            <w:r>
              <w:rPr>
                <w:rFonts w:ascii="Arial" w:eastAsia="Arial" w:hAnsi="Arial" w:cs="Arial"/>
                <w:i/>
                <w:color w:val="002060"/>
              </w:rPr>
              <w:t>Aizada</w:t>
            </w:r>
            <w:proofErr w:type="spellEnd"/>
            <w:r>
              <w:rPr>
                <w:rFonts w:ascii="Arial" w:eastAsia="Arial" w:hAnsi="Arial" w:cs="Arial"/>
                <w:i/>
                <w:color w:val="002060"/>
              </w:rPr>
              <w:t xml:space="preserve"> </w:t>
            </w:r>
            <w:proofErr w:type="spellStart"/>
            <w:r>
              <w:rPr>
                <w:rFonts w:ascii="Arial" w:eastAsia="Arial" w:hAnsi="Arial" w:cs="Arial"/>
                <w:i/>
                <w:color w:val="002060"/>
              </w:rPr>
              <w:t>Barieva</w:t>
            </w:r>
            <w:proofErr w:type="spellEnd"/>
            <w:r>
              <w:rPr>
                <w:rFonts w:ascii="Arial" w:eastAsia="Arial" w:hAnsi="Arial" w:cs="Arial"/>
                <w:i/>
                <w:color w:val="002060"/>
              </w:rPr>
              <w:t>, Head of Climate Policy Department, Ministry of Natural Resources, Environment and Technical Supervision of the Kyrgyz Republic</w:t>
            </w:r>
          </w:p>
          <w:p w:rsidR="004F5898" w:rsidRDefault="00E01593">
            <w:pPr>
              <w:numPr>
                <w:ilvl w:val="0"/>
                <w:numId w:val="7"/>
              </w:numPr>
              <w:pBdr>
                <w:top w:val="nil"/>
                <w:left w:val="nil"/>
                <w:bottom w:val="nil"/>
                <w:right w:val="nil"/>
                <w:between w:val="nil"/>
              </w:pBdr>
              <w:spacing w:after="0" w:line="240" w:lineRule="auto"/>
              <w:rPr>
                <w:rFonts w:ascii="Arial" w:eastAsia="Arial" w:hAnsi="Arial" w:cs="Arial"/>
                <w:i/>
                <w:color w:val="002060"/>
              </w:rPr>
            </w:pPr>
            <w:proofErr w:type="spellStart"/>
            <w:r>
              <w:rPr>
                <w:rFonts w:ascii="Arial" w:eastAsia="Arial" w:hAnsi="Arial" w:cs="Arial"/>
                <w:i/>
                <w:color w:val="002060"/>
              </w:rPr>
              <w:t>Sattor</w:t>
            </w:r>
            <w:proofErr w:type="spellEnd"/>
            <w:r>
              <w:rPr>
                <w:rFonts w:ascii="Arial" w:eastAsia="Arial" w:hAnsi="Arial" w:cs="Arial"/>
                <w:i/>
                <w:color w:val="002060"/>
              </w:rPr>
              <w:t xml:space="preserve"> </w:t>
            </w:r>
            <w:proofErr w:type="spellStart"/>
            <w:r>
              <w:rPr>
                <w:rFonts w:ascii="Arial" w:eastAsia="Arial" w:hAnsi="Arial" w:cs="Arial"/>
                <w:i/>
                <w:color w:val="002060"/>
              </w:rPr>
              <w:t>Saidov</w:t>
            </w:r>
            <w:proofErr w:type="spellEnd"/>
            <w:r>
              <w:rPr>
                <w:rFonts w:ascii="Arial" w:eastAsia="Arial" w:hAnsi="Arial" w:cs="Arial"/>
                <w:i/>
                <w:color w:val="002060"/>
              </w:rPr>
              <w:t xml:space="preserve">, Head of the Center for Climate Change and the Ozone Layer, </w:t>
            </w:r>
            <w:proofErr w:type="spellStart"/>
            <w:r>
              <w:rPr>
                <w:rFonts w:ascii="Arial" w:eastAsia="Arial" w:hAnsi="Arial" w:cs="Arial"/>
                <w:i/>
                <w:color w:val="002060"/>
              </w:rPr>
              <w:t>Hydromet</w:t>
            </w:r>
            <w:proofErr w:type="spellEnd"/>
            <w:r>
              <w:rPr>
                <w:rFonts w:ascii="Arial" w:eastAsia="Arial" w:hAnsi="Arial" w:cs="Arial"/>
                <w:i/>
                <w:color w:val="002060"/>
              </w:rPr>
              <w:t>, Republic of Tajikistan (TBC)</w:t>
            </w:r>
          </w:p>
          <w:p w:rsidR="004F5898" w:rsidRDefault="00E01593">
            <w:pPr>
              <w:numPr>
                <w:ilvl w:val="0"/>
                <w:numId w:val="7"/>
              </w:numPr>
              <w:pBdr>
                <w:top w:val="nil"/>
                <w:left w:val="nil"/>
                <w:bottom w:val="nil"/>
                <w:right w:val="nil"/>
                <w:between w:val="nil"/>
              </w:pBdr>
              <w:spacing w:after="0" w:line="240" w:lineRule="auto"/>
              <w:rPr>
                <w:rFonts w:ascii="Arial" w:eastAsia="Arial" w:hAnsi="Arial" w:cs="Arial"/>
                <w:i/>
                <w:color w:val="002060"/>
              </w:rPr>
            </w:pPr>
            <w:proofErr w:type="spellStart"/>
            <w:r>
              <w:rPr>
                <w:rFonts w:ascii="Arial" w:eastAsia="Arial" w:hAnsi="Arial" w:cs="Arial"/>
                <w:i/>
                <w:color w:val="002060"/>
              </w:rPr>
              <w:t>Mahtumkuli</w:t>
            </w:r>
            <w:proofErr w:type="spellEnd"/>
            <w:r>
              <w:rPr>
                <w:rFonts w:ascii="Arial" w:eastAsia="Arial" w:hAnsi="Arial" w:cs="Arial"/>
                <w:i/>
                <w:color w:val="002060"/>
              </w:rPr>
              <w:t xml:space="preserve"> </w:t>
            </w:r>
            <w:proofErr w:type="spellStart"/>
            <w:r>
              <w:rPr>
                <w:rFonts w:ascii="Arial" w:eastAsia="Arial" w:hAnsi="Arial" w:cs="Arial"/>
                <w:i/>
                <w:color w:val="002060"/>
              </w:rPr>
              <w:t>Akmuradov</w:t>
            </w:r>
            <w:proofErr w:type="spellEnd"/>
            <w:r>
              <w:rPr>
                <w:rFonts w:ascii="Arial" w:eastAsia="Arial" w:hAnsi="Arial" w:cs="Arial"/>
                <w:i/>
                <w:color w:val="002060"/>
              </w:rPr>
              <w:t>,</w:t>
            </w:r>
            <w:r>
              <w:t xml:space="preserve"> </w:t>
            </w:r>
            <w:r>
              <w:rPr>
                <w:rFonts w:ascii="Arial" w:eastAsia="Arial" w:hAnsi="Arial" w:cs="Arial"/>
                <w:i/>
                <w:color w:val="002060"/>
              </w:rPr>
              <w:t>Advisor, Department of International Organizations, Ministry of foreign affairs of Turkmenistan, Turkmenistan (TBC)</w:t>
            </w:r>
          </w:p>
          <w:p w:rsidR="004F5898" w:rsidRDefault="00E01593">
            <w:pPr>
              <w:numPr>
                <w:ilvl w:val="0"/>
                <w:numId w:val="7"/>
              </w:numPr>
              <w:pBdr>
                <w:top w:val="nil"/>
                <w:left w:val="nil"/>
                <w:bottom w:val="nil"/>
                <w:right w:val="nil"/>
                <w:between w:val="nil"/>
              </w:pBdr>
              <w:spacing w:after="0" w:line="240" w:lineRule="auto"/>
              <w:rPr>
                <w:rFonts w:ascii="Arial" w:eastAsia="Arial" w:hAnsi="Arial" w:cs="Arial"/>
                <w:i/>
                <w:color w:val="002060"/>
              </w:rPr>
            </w:pPr>
            <w:proofErr w:type="spellStart"/>
            <w:r>
              <w:rPr>
                <w:rFonts w:ascii="Arial" w:eastAsia="Arial" w:hAnsi="Arial" w:cs="Arial"/>
                <w:i/>
                <w:color w:val="002060"/>
              </w:rPr>
              <w:lastRenderedPageBreak/>
              <w:t>Saiyora</w:t>
            </w:r>
            <w:proofErr w:type="spellEnd"/>
            <w:r>
              <w:rPr>
                <w:rFonts w:ascii="Arial" w:eastAsia="Arial" w:hAnsi="Arial" w:cs="Arial"/>
                <w:i/>
                <w:color w:val="002060"/>
              </w:rPr>
              <w:t xml:space="preserve"> </w:t>
            </w:r>
            <w:proofErr w:type="spellStart"/>
            <w:r>
              <w:rPr>
                <w:rFonts w:ascii="Arial" w:eastAsia="Arial" w:hAnsi="Arial" w:cs="Arial"/>
                <w:i/>
                <w:color w:val="002060"/>
              </w:rPr>
              <w:t>Abdullaeva</w:t>
            </w:r>
            <w:proofErr w:type="spellEnd"/>
            <w:r>
              <w:rPr>
                <w:rFonts w:ascii="Arial" w:eastAsia="Arial" w:hAnsi="Arial" w:cs="Arial"/>
                <w:i/>
                <w:color w:val="002060"/>
              </w:rPr>
              <w:t>, Head of the Sector for Coordination of International Cooperation of the National Climate Center under the Ministry of Ecology, Environmental Protection and Climate Change of the Republic of Uzbekistan</w:t>
            </w:r>
          </w:p>
          <w:p w:rsidR="004F5898" w:rsidRDefault="004F5898">
            <w:pPr>
              <w:pBdr>
                <w:top w:val="nil"/>
                <w:left w:val="nil"/>
                <w:bottom w:val="nil"/>
                <w:right w:val="nil"/>
                <w:between w:val="nil"/>
              </w:pBdr>
              <w:spacing w:after="0" w:line="240" w:lineRule="auto"/>
              <w:ind w:left="720"/>
              <w:rPr>
                <w:rFonts w:ascii="Arial" w:eastAsia="Arial" w:hAnsi="Arial" w:cs="Arial"/>
                <w:i/>
                <w:color w:val="002060"/>
              </w:rPr>
            </w:pPr>
          </w:p>
          <w:p w:rsidR="004F5898" w:rsidRDefault="00E01593">
            <w:pPr>
              <w:pBdr>
                <w:top w:val="nil"/>
                <w:left w:val="nil"/>
                <w:bottom w:val="nil"/>
                <w:right w:val="nil"/>
                <w:between w:val="nil"/>
              </w:pBdr>
              <w:spacing w:after="0" w:line="240" w:lineRule="auto"/>
              <w:rPr>
                <w:rFonts w:ascii="Arial" w:eastAsia="Arial" w:hAnsi="Arial" w:cs="Arial"/>
                <w:b/>
                <w:i/>
                <w:color w:val="002060"/>
              </w:rPr>
            </w:pPr>
            <w:r>
              <w:rPr>
                <w:rFonts w:ascii="Arial" w:eastAsia="Arial" w:hAnsi="Arial" w:cs="Arial"/>
                <w:b/>
                <w:i/>
                <w:color w:val="002060"/>
              </w:rPr>
              <w:t xml:space="preserve">Guiding questions: </w:t>
            </w:r>
          </w:p>
          <w:p w:rsidR="004F5898" w:rsidRDefault="00E01593">
            <w:pPr>
              <w:numPr>
                <w:ilvl w:val="0"/>
                <w:numId w:val="8"/>
              </w:numPr>
              <w:pBdr>
                <w:top w:val="nil"/>
                <w:left w:val="nil"/>
                <w:bottom w:val="nil"/>
                <w:right w:val="nil"/>
                <w:between w:val="nil"/>
              </w:pBdr>
              <w:spacing w:after="0" w:line="240" w:lineRule="auto"/>
              <w:rPr>
                <w:rFonts w:ascii="Arial" w:eastAsia="Arial" w:hAnsi="Arial" w:cs="Arial"/>
                <w:i/>
                <w:color w:val="002060"/>
              </w:rPr>
            </w:pPr>
            <w:r>
              <w:rPr>
                <w:rFonts w:ascii="Arial" w:eastAsia="Arial" w:hAnsi="Arial" w:cs="Arial"/>
                <w:i/>
                <w:color w:val="002060"/>
              </w:rPr>
              <w:t>Persistent gaps in MRV systems, institutional coordination, and financial mobilization.</w:t>
            </w:r>
          </w:p>
          <w:p w:rsidR="004F5898" w:rsidRDefault="00E01593">
            <w:pPr>
              <w:numPr>
                <w:ilvl w:val="0"/>
                <w:numId w:val="8"/>
              </w:numPr>
              <w:pBdr>
                <w:top w:val="nil"/>
                <w:left w:val="nil"/>
                <w:bottom w:val="nil"/>
                <w:right w:val="nil"/>
                <w:between w:val="nil"/>
              </w:pBdr>
              <w:spacing w:after="0" w:line="240" w:lineRule="auto"/>
              <w:rPr>
                <w:rFonts w:ascii="Arial" w:eastAsia="Arial" w:hAnsi="Arial" w:cs="Arial"/>
                <w:i/>
                <w:color w:val="002060"/>
              </w:rPr>
            </w:pPr>
            <w:r>
              <w:rPr>
                <w:rFonts w:ascii="Arial" w:eastAsia="Arial" w:hAnsi="Arial" w:cs="Arial"/>
                <w:i/>
                <w:color w:val="002060"/>
              </w:rPr>
              <w:t>Key challenges Central Asian countries face in fulfilling their Paris Agreement obligations and NDC improvement</w:t>
            </w:r>
          </w:p>
          <w:p w:rsidR="004F5898" w:rsidRDefault="00E01593">
            <w:pPr>
              <w:numPr>
                <w:ilvl w:val="0"/>
                <w:numId w:val="8"/>
              </w:numPr>
              <w:pBdr>
                <w:top w:val="nil"/>
                <w:left w:val="nil"/>
                <w:bottom w:val="nil"/>
                <w:right w:val="nil"/>
                <w:between w:val="nil"/>
              </w:pBdr>
              <w:spacing w:after="0" w:line="240" w:lineRule="auto"/>
              <w:rPr>
                <w:rFonts w:ascii="Arial" w:eastAsia="Arial" w:hAnsi="Arial" w:cs="Arial"/>
                <w:i/>
                <w:color w:val="002060"/>
              </w:rPr>
            </w:pPr>
            <w:r>
              <w:rPr>
                <w:rFonts w:ascii="Arial" w:eastAsia="Arial" w:hAnsi="Arial" w:cs="Arial"/>
                <w:i/>
                <w:color w:val="002060"/>
              </w:rPr>
              <w:t>Regional needs for enhanced technical and financial support to meet climate goals.</w:t>
            </w:r>
          </w:p>
          <w:p w:rsidR="004F5898" w:rsidRDefault="004F5898">
            <w:pPr>
              <w:pBdr>
                <w:top w:val="nil"/>
                <w:left w:val="nil"/>
                <w:bottom w:val="nil"/>
                <w:right w:val="nil"/>
                <w:between w:val="nil"/>
              </w:pBdr>
              <w:spacing w:after="0" w:line="240" w:lineRule="auto"/>
              <w:ind w:left="458"/>
              <w:rPr>
                <w:rFonts w:ascii="Arial" w:eastAsia="Arial" w:hAnsi="Arial" w:cs="Arial"/>
                <w:color w:val="002060"/>
              </w:rPr>
            </w:pPr>
          </w:p>
        </w:tc>
      </w:tr>
      <w:tr w:rsidR="004F5898">
        <w:trPr>
          <w:trHeight w:val="402"/>
          <w:jc w:val="center"/>
        </w:trPr>
        <w:tc>
          <w:tcPr>
            <w:tcW w:w="9679" w:type="dxa"/>
            <w:gridSpan w:val="2"/>
            <w:shd w:val="clear" w:color="auto" w:fill="F2F2F2"/>
            <w:vAlign w:val="center"/>
          </w:tcPr>
          <w:p w:rsidR="004F5898" w:rsidRDefault="00E01593">
            <w:pPr>
              <w:tabs>
                <w:tab w:val="left" w:pos="1665"/>
              </w:tabs>
              <w:ind w:right="3"/>
              <w:rPr>
                <w:rFonts w:ascii="Arial" w:eastAsia="Arial" w:hAnsi="Arial" w:cs="Arial"/>
                <w:i/>
                <w:color w:val="002060"/>
              </w:rPr>
            </w:pPr>
            <w:r>
              <w:rPr>
                <w:rFonts w:ascii="Arial" w:eastAsia="Arial" w:hAnsi="Arial" w:cs="Arial"/>
                <w:i/>
                <w:color w:val="002060"/>
              </w:rPr>
              <w:lastRenderedPageBreak/>
              <w:t>Session 3: Future Directions: Expanding the Scope of ReCATH</w:t>
            </w:r>
          </w:p>
        </w:tc>
      </w:tr>
      <w:tr w:rsidR="004F5898">
        <w:trPr>
          <w:trHeight w:val="1161"/>
          <w:jc w:val="center"/>
        </w:trPr>
        <w:tc>
          <w:tcPr>
            <w:tcW w:w="1980" w:type="dxa"/>
            <w:vAlign w:val="center"/>
          </w:tcPr>
          <w:p w:rsidR="004F5898" w:rsidRDefault="00E01593">
            <w:pPr>
              <w:tabs>
                <w:tab w:val="left" w:pos="1665"/>
              </w:tabs>
              <w:ind w:right="3"/>
              <w:rPr>
                <w:rFonts w:ascii="Arial" w:eastAsia="Arial" w:hAnsi="Arial" w:cs="Arial"/>
                <w:color w:val="002060"/>
              </w:rPr>
            </w:pPr>
            <w:r>
              <w:rPr>
                <w:rFonts w:ascii="Arial" w:eastAsia="Arial" w:hAnsi="Arial" w:cs="Arial"/>
                <w:color w:val="002060"/>
              </w:rPr>
              <w:t xml:space="preserve">12:30 – 13:00  </w:t>
            </w:r>
          </w:p>
        </w:tc>
        <w:tc>
          <w:tcPr>
            <w:tcW w:w="7699" w:type="dxa"/>
            <w:vAlign w:val="center"/>
          </w:tcPr>
          <w:p w:rsidR="004F5898" w:rsidRDefault="00E01593">
            <w:pPr>
              <w:rPr>
                <w:rFonts w:ascii="Arial" w:eastAsia="Arial" w:hAnsi="Arial" w:cs="Arial"/>
                <w:color w:val="002060"/>
              </w:rPr>
            </w:pPr>
            <w:proofErr w:type="spellStart"/>
            <w:r>
              <w:rPr>
                <w:rFonts w:ascii="Arial" w:eastAsia="Arial" w:hAnsi="Arial" w:cs="Arial"/>
                <w:color w:val="002060"/>
              </w:rPr>
              <w:t>Nailia</w:t>
            </w:r>
            <w:proofErr w:type="spellEnd"/>
            <w:r>
              <w:rPr>
                <w:rFonts w:ascii="Arial" w:eastAsia="Arial" w:hAnsi="Arial" w:cs="Arial"/>
                <w:color w:val="002060"/>
              </w:rPr>
              <w:t xml:space="preserve"> </w:t>
            </w:r>
            <w:proofErr w:type="spellStart"/>
            <w:r>
              <w:rPr>
                <w:rFonts w:ascii="Arial" w:eastAsia="Arial" w:hAnsi="Arial" w:cs="Arial"/>
                <w:color w:val="002060"/>
              </w:rPr>
              <w:t>Timerkhanova</w:t>
            </w:r>
            <w:proofErr w:type="spellEnd"/>
            <w:r>
              <w:rPr>
                <w:rFonts w:ascii="Arial" w:eastAsia="Arial" w:hAnsi="Arial" w:cs="Arial"/>
                <w:color w:val="002060"/>
              </w:rPr>
              <w:t>, ReCATH Regional Project Expert</w:t>
            </w:r>
          </w:p>
          <w:p w:rsidR="004F5898" w:rsidRDefault="00E01593">
            <w:pPr>
              <w:pBdr>
                <w:top w:val="nil"/>
                <w:left w:val="nil"/>
                <w:bottom w:val="nil"/>
                <w:right w:val="nil"/>
                <w:between w:val="nil"/>
              </w:pBdr>
              <w:spacing w:after="0" w:line="240" w:lineRule="auto"/>
              <w:rPr>
                <w:rFonts w:ascii="Arial" w:eastAsia="Arial" w:hAnsi="Arial" w:cs="Arial"/>
                <w:color w:val="002060"/>
              </w:rPr>
            </w:pPr>
            <w:r>
              <w:rPr>
                <w:rFonts w:ascii="Arial" w:eastAsia="Arial" w:hAnsi="Arial" w:cs="Arial"/>
                <w:color w:val="002060"/>
              </w:rPr>
              <w:t>Discussion on upcoming activities and expansion plans for the next phase of the ReCATH project, including:</w:t>
            </w:r>
          </w:p>
          <w:p w:rsidR="004F5898" w:rsidRDefault="00E01593">
            <w:pPr>
              <w:numPr>
                <w:ilvl w:val="0"/>
                <w:numId w:val="1"/>
              </w:numPr>
              <w:pBdr>
                <w:top w:val="nil"/>
                <w:left w:val="nil"/>
                <w:bottom w:val="nil"/>
                <w:right w:val="nil"/>
                <w:between w:val="nil"/>
              </w:pBdr>
              <w:spacing w:after="0" w:line="240" w:lineRule="auto"/>
              <w:rPr>
                <w:rFonts w:ascii="Arial" w:eastAsia="Arial" w:hAnsi="Arial" w:cs="Arial"/>
                <w:b/>
                <w:i/>
                <w:color w:val="002060"/>
              </w:rPr>
            </w:pPr>
            <w:r>
              <w:rPr>
                <w:rFonts w:ascii="Arial" w:eastAsia="Arial" w:hAnsi="Arial" w:cs="Arial"/>
                <w:i/>
                <w:color w:val="002060"/>
              </w:rPr>
              <w:t xml:space="preserve">Establishment of working groups to support national climate reporting and transparency. (QA/QC, peer-review WGs) </w:t>
            </w:r>
          </w:p>
          <w:p w:rsidR="004F5898" w:rsidRDefault="00E01593">
            <w:pPr>
              <w:numPr>
                <w:ilvl w:val="0"/>
                <w:numId w:val="1"/>
              </w:numPr>
              <w:pBdr>
                <w:top w:val="nil"/>
                <w:left w:val="nil"/>
                <w:bottom w:val="nil"/>
                <w:right w:val="nil"/>
                <w:between w:val="nil"/>
              </w:pBdr>
              <w:spacing w:after="0" w:line="240" w:lineRule="auto"/>
              <w:rPr>
                <w:rFonts w:ascii="Arial" w:eastAsia="Arial" w:hAnsi="Arial" w:cs="Arial"/>
                <w:b/>
                <w:i/>
                <w:color w:val="002060"/>
              </w:rPr>
            </w:pPr>
            <w:r>
              <w:rPr>
                <w:rFonts w:ascii="Arial" w:eastAsia="Arial" w:hAnsi="Arial" w:cs="Arial"/>
                <w:i/>
                <w:color w:val="002060"/>
              </w:rPr>
              <w:t xml:space="preserve">Development of more ambitious climate action plans and climate finance strategies. </w:t>
            </w:r>
          </w:p>
          <w:p w:rsidR="004F5898" w:rsidRDefault="00E01593">
            <w:pPr>
              <w:numPr>
                <w:ilvl w:val="0"/>
                <w:numId w:val="1"/>
              </w:numPr>
              <w:pBdr>
                <w:top w:val="nil"/>
                <w:left w:val="nil"/>
                <w:bottom w:val="nil"/>
                <w:right w:val="nil"/>
                <w:between w:val="nil"/>
              </w:pBdr>
              <w:spacing w:after="0" w:line="240" w:lineRule="auto"/>
              <w:rPr>
                <w:rFonts w:ascii="Arial" w:eastAsia="Arial" w:hAnsi="Arial" w:cs="Arial"/>
                <w:i/>
                <w:color w:val="002060"/>
              </w:rPr>
            </w:pPr>
            <w:r>
              <w:rPr>
                <w:rFonts w:ascii="Arial" w:eastAsia="Arial" w:hAnsi="Arial" w:cs="Arial"/>
                <w:i/>
                <w:color w:val="002060"/>
              </w:rPr>
              <w:t xml:space="preserve">Strengthening methane emission reduction efforts, including methane capture and utilization initiatives. </w:t>
            </w:r>
          </w:p>
          <w:p w:rsidR="004F5898" w:rsidRDefault="004F5898">
            <w:pPr>
              <w:pBdr>
                <w:top w:val="nil"/>
                <w:left w:val="nil"/>
                <w:bottom w:val="nil"/>
                <w:right w:val="nil"/>
                <w:between w:val="nil"/>
              </w:pBdr>
              <w:spacing w:after="0" w:line="240" w:lineRule="auto"/>
              <w:ind w:left="720"/>
              <w:rPr>
                <w:rFonts w:ascii="Arial" w:eastAsia="Arial" w:hAnsi="Arial" w:cs="Arial"/>
                <w:color w:val="002060"/>
              </w:rPr>
            </w:pPr>
          </w:p>
        </w:tc>
      </w:tr>
      <w:tr w:rsidR="004F5898">
        <w:trPr>
          <w:trHeight w:val="418"/>
          <w:jc w:val="center"/>
        </w:trPr>
        <w:tc>
          <w:tcPr>
            <w:tcW w:w="9679" w:type="dxa"/>
            <w:gridSpan w:val="2"/>
            <w:shd w:val="clear" w:color="auto" w:fill="7E84A1"/>
            <w:vAlign w:val="center"/>
          </w:tcPr>
          <w:p w:rsidR="004F5898" w:rsidRDefault="004F5898">
            <w:pPr>
              <w:tabs>
                <w:tab w:val="left" w:pos="1665"/>
              </w:tabs>
              <w:ind w:right="3"/>
              <w:jc w:val="center"/>
              <w:rPr>
                <w:rFonts w:ascii="Arial" w:eastAsia="Arial" w:hAnsi="Arial" w:cs="Arial"/>
                <w:b/>
                <w:color w:val="002060"/>
                <w:sz w:val="26"/>
                <w:szCs w:val="26"/>
              </w:rPr>
            </w:pPr>
          </w:p>
        </w:tc>
      </w:tr>
    </w:tbl>
    <w:p w:rsidR="004F5898" w:rsidRDefault="004F5898">
      <w:pPr>
        <w:spacing w:after="0" w:line="240" w:lineRule="auto"/>
        <w:jc w:val="center"/>
        <w:rPr>
          <w:rFonts w:ascii="Arial" w:eastAsia="Arial" w:hAnsi="Arial" w:cs="Arial"/>
          <w:color w:val="000000"/>
          <w:sz w:val="24"/>
          <w:szCs w:val="24"/>
        </w:rPr>
      </w:pPr>
    </w:p>
    <w:sectPr w:rsidR="004F5898">
      <w:headerReference w:type="first" r:id="rId8"/>
      <w:pgSz w:w="11906" w:h="16838"/>
      <w:pgMar w:top="2132" w:right="697" w:bottom="1440" w:left="1034" w:header="708" w:footer="28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45F" w:rsidRDefault="0082145F">
      <w:pPr>
        <w:spacing w:after="0" w:line="240" w:lineRule="auto"/>
      </w:pPr>
      <w:r>
        <w:separator/>
      </w:r>
    </w:p>
  </w:endnote>
  <w:endnote w:type="continuationSeparator" w:id="0">
    <w:p w:rsidR="0082145F" w:rsidRDefault="0082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45F" w:rsidRDefault="0082145F">
      <w:pPr>
        <w:spacing w:after="0" w:line="240" w:lineRule="auto"/>
      </w:pPr>
      <w:r>
        <w:separator/>
      </w:r>
    </w:p>
  </w:footnote>
  <w:footnote w:type="continuationSeparator" w:id="0">
    <w:p w:rsidR="0082145F" w:rsidRDefault="00821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898" w:rsidRDefault="00E01593">
    <w:pPr>
      <w:pBdr>
        <w:top w:val="nil"/>
        <w:left w:val="nil"/>
        <w:bottom w:val="nil"/>
        <w:right w:val="nil"/>
        <w:between w:val="nil"/>
      </w:pBdr>
      <w:tabs>
        <w:tab w:val="center" w:pos="4513"/>
        <w:tab w:val="right" w:pos="9026"/>
      </w:tabs>
      <w:spacing w:after="0" w:line="240" w:lineRule="auto"/>
      <w:ind w:right="-643"/>
      <w:rPr>
        <w:color w:val="000000"/>
      </w:rPr>
    </w:pPr>
    <w:r>
      <w:rPr>
        <w:color w:val="000000"/>
      </w:rPr>
      <w:tab/>
    </w:r>
    <w:r>
      <w:rPr>
        <w:noProof/>
      </w:rPr>
      <w:drawing>
        <wp:anchor distT="0" distB="0" distL="114300" distR="114300" simplePos="0" relativeHeight="251660288" behindDoc="0" locked="0" layoutInCell="1" hidden="0" allowOverlap="1">
          <wp:simplePos x="0" y="0"/>
          <wp:positionH relativeFrom="column">
            <wp:posOffset>-449579</wp:posOffset>
          </wp:positionH>
          <wp:positionV relativeFrom="paragraph">
            <wp:posOffset>-311784</wp:posOffset>
          </wp:positionV>
          <wp:extent cx="1793875" cy="612140"/>
          <wp:effectExtent l="0" t="0" r="0" b="0"/>
          <wp:wrapSquare wrapText="bothSides" distT="0" distB="0" distL="114300" distR="11430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93875" cy="61214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1274649</wp:posOffset>
          </wp:positionH>
          <wp:positionV relativeFrom="paragraph">
            <wp:posOffset>-320471</wp:posOffset>
          </wp:positionV>
          <wp:extent cx="4563110" cy="685165"/>
          <wp:effectExtent l="0" t="0" r="0" b="0"/>
          <wp:wrapSquare wrapText="bothSides" distT="0" distB="0" distL="114300" distR="114300"/>
          <wp:docPr id="20" name="image3.png" descr="C:\Users\Oxana\Downloads\Group logo _ without GHGMI.png"/>
          <wp:cNvGraphicFramePr/>
          <a:graphic xmlns:a="http://schemas.openxmlformats.org/drawingml/2006/main">
            <a:graphicData uri="http://schemas.openxmlformats.org/drawingml/2006/picture">
              <pic:pic xmlns:pic="http://schemas.openxmlformats.org/drawingml/2006/picture">
                <pic:nvPicPr>
                  <pic:cNvPr id="0" name="image3.png" descr="C:\Users\Oxana\Downloads\Group logo _ without GHGMI.png"/>
                  <pic:cNvPicPr preferRelativeResize="0"/>
                </pic:nvPicPr>
                <pic:blipFill>
                  <a:blip r:embed="rId2"/>
                  <a:srcRect r="21908"/>
                  <a:stretch>
                    <a:fillRect/>
                  </a:stretch>
                </pic:blipFill>
                <pic:spPr>
                  <a:xfrm>
                    <a:off x="0" y="0"/>
                    <a:ext cx="4563110" cy="685165"/>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5881464</wp:posOffset>
          </wp:positionH>
          <wp:positionV relativeFrom="paragraph">
            <wp:posOffset>-321309</wp:posOffset>
          </wp:positionV>
          <wp:extent cx="793750" cy="895350"/>
          <wp:effectExtent l="0" t="0" r="0" b="0"/>
          <wp:wrapSquare wrapText="bothSides" distT="0" distB="0" distL="114300" distR="11430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793750" cy="8953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4BB1"/>
    <w:multiLevelType w:val="multilevel"/>
    <w:tmpl w:val="1CBCAA7A"/>
    <w:lvl w:ilvl="0">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B940A5"/>
    <w:multiLevelType w:val="multilevel"/>
    <w:tmpl w:val="8214B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73692B"/>
    <w:multiLevelType w:val="multilevel"/>
    <w:tmpl w:val="A8102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3969D0"/>
    <w:multiLevelType w:val="multilevel"/>
    <w:tmpl w:val="31A033C0"/>
    <w:lvl w:ilvl="0">
      <w:numFmt w:val="bullet"/>
      <w:lvlText w:val="⎯"/>
      <w:lvlJc w:val="left"/>
      <w:pPr>
        <w:ind w:left="780" w:hanging="360"/>
      </w:pPr>
      <w:rPr>
        <w:rFonts w:ascii="Noto Sans Symbols" w:eastAsia="Noto Sans Symbols" w:hAnsi="Noto Sans Symbols" w:cs="Noto Sans Symbols"/>
        <w:sz w:val="16"/>
        <w:szCs w:val="16"/>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4D2E2752"/>
    <w:multiLevelType w:val="multilevel"/>
    <w:tmpl w:val="62421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8E25E0"/>
    <w:multiLevelType w:val="multilevel"/>
    <w:tmpl w:val="7682F062"/>
    <w:lvl w:ilvl="0">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66339A"/>
    <w:multiLevelType w:val="multilevel"/>
    <w:tmpl w:val="CAFA4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83401A"/>
    <w:multiLevelType w:val="multilevel"/>
    <w:tmpl w:val="B9100E38"/>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num w:numId="1">
    <w:abstractNumId w:val="1"/>
  </w:num>
  <w:num w:numId="2">
    <w:abstractNumId w:val="7"/>
  </w:num>
  <w:num w:numId="3">
    <w:abstractNumId w:val="6"/>
  </w:num>
  <w:num w:numId="4">
    <w:abstractNumId w:val="2"/>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98"/>
    <w:rsid w:val="000C4FE5"/>
    <w:rsid w:val="004F5898"/>
    <w:rsid w:val="005B01F1"/>
    <w:rsid w:val="0082145F"/>
    <w:rsid w:val="00C7143E"/>
    <w:rsid w:val="00E0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E8598-646E-412F-B81F-B4CFA04E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BE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6B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350A0"/>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4350A0"/>
  </w:style>
  <w:style w:type="paragraph" w:styleId="a7">
    <w:name w:val="footer"/>
    <w:basedOn w:val="a"/>
    <w:link w:val="a8"/>
    <w:uiPriority w:val="99"/>
    <w:unhideWhenUsed/>
    <w:rsid w:val="004350A0"/>
    <w:pPr>
      <w:tabs>
        <w:tab w:val="center" w:pos="4513"/>
        <w:tab w:val="right" w:pos="9026"/>
      </w:tabs>
      <w:spacing w:after="0" w:line="240" w:lineRule="auto"/>
    </w:pPr>
  </w:style>
  <w:style w:type="character" w:customStyle="1" w:styleId="a8">
    <w:name w:val="Нижний колонтитул Знак"/>
    <w:basedOn w:val="a0"/>
    <w:link w:val="a7"/>
    <w:uiPriority w:val="99"/>
    <w:rsid w:val="004350A0"/>
  </w:style>
  <w:style w:type="paragraph" w:styleId="a9">
    <w:name w:val="List Paragraph"/>
    <w:basedOn w:val="a"/>
    <w:uiPriority w:val="34"/>
    <w:qFormat/>
    <w:rsid w:val="001703FB"/>
    <w:pPr>
      <w:ind w:left="720"/>
      <w:contextualSpacing/>
    </w:pPr>
  </w:style>
  <w:style w:type="paragraph" w:styleId="aa">
    <w:name w:val="No Spacing"/>
    <w:link w:val="ab"/>
    <w:uiPriority w:val="1"/>
    <w:qFormat/>
    <w:rsid w:val="00AA4FF8"/>
    <w:pPr>
      <w:spacing w:after="0" w:line="240" w:lineRule="auto"/>
    </w:pPr>
    <w:rPr>
      <w:rFonts w:eastAsiaTheme="minorEastAsia"/>
      <w:lang w:eastAsia="zh-CN"/>
    </w:rPr>
  </w:style>
  <w:style w:type="character" w:customStyle="1" w:styleId="ab">
    <w:name w:val="Без интервала Знак"/>
    <w:basedOn w:val="a0"/>
    <w:link w:val="aa"/>
    <w:uiPriority w:val="1"/>
    <w:rsid w:val="00AA4FF8"/>
    <w:rPr>
      <w:rFonts w:eastAsiaTheme="minorEastAsia"/>
      <w:lang w:val="en-US" w:eastAsia="zh-CN"/>
    </w:rPr>
  </w:style>
  <w:style w:type="paragraph" w:customStyle="1" w:styleId="Default">
    <w:name w:val="Default"/>
    <w:rsid w:val="00BB798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a"/>
    <w:rsid w:val="00BB798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0"/>
    <w:rsid w:val="00BB798C"/>
  </w:style>
  <w:style w:type="character" w:styleId="ac">
    <w:name w:val="Hyperlink"/>
    <w:basedOn w:val="a0"/>
    <w:uiPriority w:val="99"/>
    <w:unhideWhenUsed/>
    <w:rsid w:val="00EB6EA2"/>
    <w:rPr>
      <w:color w:val="0000FF"/>
      <w:u w:val="single"/>
    </w:rPr>
  </w:style>
  <w:style w:type="character" w:styleId="ad">
    <w:name w:val="annotation reference"/>
    <w:basedOn w:val="a0"/>
    <w:uiPriority w:val="99"/>
    <w:semiHidden/>
    <w:unhideWhenUsed/>
    <w:rsid w:val="00B02831"/>
    <w:rPr>
      <w:sz w:val="16"/>
      <w:szCs w:val="16"/>
    </w:rPr>
  </w:style>
  <w:style w:type="paragraph" w:styleId="ae">
    <w:name w:val="annotation text"/>
    <w:basedOn w:val="a"/>
    <w:link w:val="af"/>
    <w:uiPriority w:val="99"/>
    <w:unhideWhenUsed/>
    <w:rsid w:val="00B02831"/>
    <w:pPr>
      <w:spacing w:line="240" w:lineRule="auto"/>
    </w:pPr>
    <w:rPr>
      <w:sz w:val="20"/>
      <w:szCs w:val="20"/>
    </w:rPr>
  </w:style>
  <w:style w:type="character" w:customStyle="1" w:styleId="af">
    <w:name w:val="Текст примечания Знак"/>
    <w:basedOn w:val="a0"/>
    <w:link w:val="ae"/>
    <w:uiPriority w:val="99"/>
    <w:rsid w:val="00B02831"/>
    <w:rPr>
      <w:sz w:val="20"/>
      <w:szCs w:val="20"/>
    </w:rPr>
  </w:style>
  <w:style w:type="paragraph" w:styleId="af0">
    <w:name w:val="annotation subject"/>
    <w:basedOn w:val="ae"/>
    <w:next w:val="ae"/>
    <w:link w:val="af1"/>
    <w:uiPriority w:val="99"/>
    <w:semiHidden/>
    <w:unhideWhenUsed/>
    <w:rsid w:val="00B02831"/>
    <w:rPr>
      <w:b/>
      <w:bCs/>
    </w:rPr>
  </w:style>
  <w:style w:type="character" w:customStyle="1" w:styleId="af1">
    <w:name w:val="Тема примечания Знак"/>
    <w:basedOn w:val="af"/>
    <w:link w:val="af0"/>
    <w:uiPriority w:val="99"/>
    <w:semiHidden/>
    <w:rsid w:val="00B02831"/>
    <w:rPr>
      <w:b/>
      <w:bCs/>
      <w:sz w:val="20"/>
      <w:szCs w:val="20"/>
    </w:rPr>
  </w:style>
  <w:style w:type="character" w:customStyle="1" w:styleId="UnresolvedMention1">
    <w:name w:val="Unresolved Mention1"/>
    <w:basedOn w:val="a0"/>
    <w:uiPriority w:val="99"/>
    <w:semiHidden/>
    <w:unhideWhenUsed/>
    <w:rsid w:val="00C15C9E"/>
    <w:rPr>
      <w:color w:val="605E5C"/>
      <w:shd w:val="clear" w:color="auto" w:fill="E1DFDD"/>
    </w:rPr>
  </w:style>
  <w:style w:type="paragraph" w:styleId="af2">
    <w:name w:val="Revision"/>
    <w:hidden/>
    <w:uiPriority w:val="99"/>
    <w:semiHidden/>
    <w:rsid w:val="00EE1E3E"/>
    <w:pPr>
      <w:spacing w:after="0" w:line="240" w:lineRule="auto"/>
    </w:pPr>
  </w:style>
  <w:style w:type="paragraph" w:styleId="af3">
    <w:name w:val="Balloon Text"/>
    <w:basedOn w:val="a"/>
    <w:link w:val="af4"/>
    <w:uiPriority w:val="99"/>
    <w:semiHidden/>
    <w:unhideWhenUsed/>
    <w:rsid w:val="00FD0BBE"/>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FD0BBE"/>
    <w:rPr>
      <w:rFonts w:ascii="Segoe UI" w:hAnsi="Segoe UI" w:cs="Segoe UI"/>
      <w:sz w:val="18"/>
      <w:szCs w:val="18"/>
    </w:rPr>
  </w:style>
  <w:style w:type="character" w:customStyle="1" w:styleId="cf01">
    <w:name w:val="cf01"/>
    <w:basedOn w:val="a0"/>
    <w:rsid w:val="004E739A"/>
    <w:rPr>
      <w:rFonts w:ascii="Segoe UI" w:hAnsi="Segoe UI" w:cs="Segoe UI" w:hint="default"/>
      <w:sz w:val="18"/>
      <w:szCs w:val="18"/>
    </w:rPr>
  </w:style>
  <w:style w:type="character" w:customStyle="1" w:styleId="10">
    <w:name w:val="Неразрешенное упоминание1"/>
    <w:basedOn w:val="a0"/>
    <w:uiPriority w:val="99"/>
    <w:unhideWhenUsed/>
    <w:rsid w:val="00F50467"/>
    <w:rPr>
      <w:color w:val="605E5C"/>
      <w:shd w:val="clear" w:color="auto" w:fill="E1DFDD"/>
    </w:rPr>
  </w:style>
  <w:style w:type="character" w:customStyle="1" w:styleId="ui-provider">
    <w:name w:val="ui-provider"/>
    <w:basedOn w:val="a0"/>
    <w:rsid w:val="00DE63F6"/>
  </w:style>
  <w:style w:type="paragraph" w:styleId="af5">
    <w:name w:val="footnote text"/>
    <w:basedOn w:val="a"/>
    <w:link w:val="af6"/>
    <w:uiPriority w:val="99"/>
    <w:semiHidden/>
    <w:unhideWhenUsed/>
    <w:rsid w:val="00665F84"/>
    <w:pPr>
      <w:spacing w:after="0" w:line="240" w:lineRule="auto"/>
      <w:jc w:val="both"/>
    </w:pPr>
    <w:rPr>
      <w:kern w:val="2"/>
      <w:sz w:val="20"/>
      <w:szCs w:val="20"/>
      <w:lang w:val="es-CL"/>
    </w:rPr>
  </w:style>
  <w:style w:type="character" w:customStyle="1" w:styleId="af6">
    <w:name w:val="Текст сноски Знак"/>
    <w:basedOn w:val="a0"/>
    <w:link w:val="af5"/>
    <w:uiPriority w:val="99"/>
    <w:semiHidden/>
    <w:rsid w:val="00665F84"/>
    <w:rPr>
      <w:kern w:val="2"/>
      <w:sz w:val="20"/>
      <w:szCs w:val="20"/>
      <w:lang w:val="es-CL"/>
    </w:rPr>
  </w:style>
  <w:style w:type="character" w:styleId="af7">
    <w:name w:val="footnote reference"/>
    <w:basedOn w:val="a0"/>
    <w:uiPriority w:val="99"/>
    <w:semiHidden/>
    <w:unhideWhenUsed/>
    <w:rsid w:val="00665F84"/>
    <w:rPr>
      <w:vertAlign w:val="superscript"/>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ZIhzPbo8BmT0sAj6Z+5+08/McA==">CgMxLjAyCGguZ2pkZ3hzMgloLjMwajB6bGw4AHIhMUdMMDFUajZqQzYxejZMaUpFQjM5WkZyVmw0dEtrbEVD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1449</Words>
  <Characters>8261</Characters>
  <Application>Microsoft Office Word</Application>
  <DocSecurity>0</DocSecurity>
  <Lines>68</Lines>
  <Paragraphs>19</Paragraphs>
  <ScaleCrop>false</ScaleCrop>
  <Company>SPecialiST RePack</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Nailia Timerkhanova</dc:creator>
  <cp:lastModifiedBy>Oxana</cp:lastModifiedBy>
  <cp:revision>4</cp:revision>
  <dcterms:created xsi:type="dcterms:W3CDTF">2023-07-17T11:39:00Z</dcterms:created>
  <dcterms:modified xsi:type="dcterms:W3CDTF">2024-10-31T06:42:00Z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0x0101007D96604227779441B9B605026E96407C</vt:lpwstr>
  </property>
</Properties>
</file>